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58B533" w14:textId="5FB01EA7" w:rsidR="00216146" w:rsidRPr="00886301" w:rsidRDefault="006B5561" w:rsidP="00216146">
      <w:pPr>
        <w:tabs>
          <w:tab w:val="left" w:pos="284"/>
          <w:tab w:val="left" w:pos="8647"/>
        </w:tabs>
        <w:jc w:val="both"/>
        <w:rPr>
          <w:sz w:val="36"/>
          <w:szCs w:val="40"/>
        </w:rPr>
      </w:pPr>
      <w:r w:rsidRPr="006B5561">
        <w:rPr>
          <w:sz w:val="36"/>
          <w:szCs w:val="40"/>
        </w:rPr>
        <w:t xml:space="preserve">Napp Pharmaceutical Group Pension Scheme </w:t>
      </w:r>
    </w:p>
    <w:p w14:paraId="5221FEDA" w14:textId="20EA730C" w:rsidR="00216146" w:rsidRDefault="00216146" w:rsidP="00216146">
      <w:pPr>
        <w:tabs>
          <w:tab w:val="left" w:pos="284"/>
          <w:tab w:val="left" w:pos="8647"/>
        </w:tabs>
        <w:jc w:val="both"/>
        <w:rPr>
          <w:b/>
          <w:sz w:val="32"/>
          <w:szCs w:val="40"/>
        </w:rPr>
      </w:pPr>
      <w:r w:rsidRPr="00886301">
        <w:rPr>
          <w:b/>
          <w:sz w:val="32"/>
          <w:szCs w:val="40"/>
        </w:rPr>
        <w:t xml:space="preserve">Annual Engagement Policy Implementation Statement </w:t>
      </w:r>
      <w:r w:rsidR="00240B8C">
        <w:rPr>
          <w:b/>
          <w:sz w:val="32"/>
          <w:szCs w:val="40"/>
        </w:rPr>
        <w:t>–</w:t>
      </w:r>
      <w:r w:rsidR="006B69C7">
        <w:rPr>
          <w:b/>
          <w:sz w:val="32"/>
          <w:szCs w:val="40"/>
        </w:rPr>
        <w:t xml:space="preserve"> </w:t>
      </w:r>
      <w:r w:rsidR="00240B8C">
        <w:rPr>
          <w:b/>
          <w:sz w:val="32"/>
          <w:szCs w:val="40"/>
        </w:rPr>
        <w:t xml:space="preserve">Year to </w:t>
      </w:r>
      <w:r w:rsidR="006B69C7">
        <w:rPr>
          <w:b/>
          <w:sz w:val="32"/>
          <w:szCs w:val="40"/>
        </w:rPr>
        <w:t xml:space="preserve">31 </w:t>
      </w:r>
      <w:r w:rsidR="006B5561">
        <w:rPr>
          <w:b/>
          <w:sz w:val="32"/>
          <w:szCs w:val="40"/>
        </w:rPr>
        <w:t>December</w:t>
      </w:r>
      <w:r w:rsidR="006B69C7">
        <w:rPr>
          <w:b/>
          <w:sz w:val="32"/>
          <w:szCs w:val="40"/>
        </w:rPr>
        <w:t xml:space="preserve"> 202</w:t>
      </w:r>
      <w:r w:rsidR="003B2480">
        <w:rPr>
          <w:b/>
          <w:sz w:val="32"/>
          <w:szCs w:val="40"/>
        </w:rPr>
        <w:t>5</w:t>
      </w:r>
    </w:p>
    <w:p w14:paraId="755AD3C8" w14:textId="5C3A667D" w:rsidR="0096702F" w:rsidRPr="00873FA1" w:rsidRDefault="0096702F" w:rsidP="00873FA1">
      <w:pPr>
        <w:pStyle w:val="Heading2"/>
        <w:tabs>
          <w:tab w:val="num" w:pos="0"/>
          <w:tab w:val="left" w:pos="284"/>
          <w:tab w:val="left" w:pos="8647"/>
        </w:tabs>
        <w:jc w:val="both"/>
        <w:rPr>
          <w:rFonts w:ascii="Mute" w:hAnsi="Mute"/>
          <w:u w:val="single"/>
        </w:rPr>
      </w:pPr>
      <w:r w:rsidRPr="00873FA1">
        <w:rPr>
          <w:rFonts w:ascii="Mute" w:hAnsi="Mute"/>
          <w:u w:val="single"/>
        </w:rPr>
        <w:t>Introduction</w:t>
      </w:r>
    </w:p>
    <w:p w14:paraId="0A153437" w14:textId="5D4C4BEE" w:rsidR="006B5561" w:rsidRDefault="006B5561" w:rsidP="00240B8C">
      <w:pPr>
        <w:rPr>
          <w:rFonts w:cs="Arial"/>
          <w:lang w:val="en-GB"/>
        </w:rPr>
      </w:pPr>
      <w:r w:rsidRPr="006B5561">
        <w:rPr>
          <w:rFonts w:cs="Arial"/>
          <w:lang w:val="en-GB"/>
        </w:rPr>
        <w:t>This statement sets out how and the extent to which, in the opinion of the Trustee of the Napp Pharmaceutical Group Pension Scheme (“the Scheme”), the Statement of Investment Principles (“SIP”) produced by the Trustee has been followed during the year to 31 December 202</w:t>
      </w:r>
      <w:r w:rsidR="003B2480">
        <w:rPr>
          <w:rFonts w:cs="Arial"/>
          <w:lang w:val="en-GB"/>
        </w:rPr>
        <w:t>5</w:t>
      </w:r>
      <w:r w:rsidRPr="006B5561">
        <w:rPr>
          <w:rFonts w:cs="Arial"/>
          <w:lang w:val="en-GB"/>
        </w:rPr>
        <w:t xml:space="preserve">. </w:t>
      </w:r>
      <w:r w:rsidR="001914BE" w:rsidRPr="001914BE">
        <w:rPr>
          <w:rFonts w:cs="Arial"/>
          <w:lang w:val="en-GB"/>
        </w:rPr>
        <w:t>This statement has been produced in accordance with The Occupational and Personal Pension Plans (Disclosure of Information) Regulations 2018 and (Investment and Disclosure (Amendment)) Regulations 2019 alongside guidance published by the Pensions Regulator.</w:t>
      </w:r>
      <w:r w:rsidRPr="006B5561">
        <w:rPr>
          <w:rFonts w:cs="Arial"/>
          <w:lang w:val="en-GB"/>
        </w:rPr>
        <w:t xml:space="preserve"> </w:t>
      </w:r>
    </w:p>
    <w:p w14:paraId="7A007F3F" w14:textId="45CC0791" w:rsidR="00240B8C" w:rsidRPr="000F27B7" w:rsidRDefault="00240B8C" w:rsidP="00240B8C">
      <w:pPr>
        <w:rPr>
          <w:rFonts w:cstheme="minorHAnsi"/>
          <w:color w:val="244061" w:themeColor="accent1" w:themeShade="80"/>
        </w:rPr>
      </w:pPr>
      <w:r>
        <w:t>Please note that the Trustee does not consider the AVC section to be material, in the context of the total assets of the Scheme, so the voting rights associated with these are not considered in this disclosure.</w:t>
      </w:r>
    </w:p>
    <w:p w14:paraId="5027D61B" w14:textId="36E53161" w:rsidR="00005D94" w:rsidRPr="00873FA1" w:rsidRDefault="00005D94" w:rsidP="00240B8C">
      <w:pPr>
        <w:pStyle w:val="Heading2"/>
        <w:tabs>
          <w:tab w:val="num" w:pos="0"/>
          <w:tab w:val="left" w:pos="284"/>
          <w:tab w:val="left" w:pos="8647"/>
        </w:tabs>
        <w:jc w:val="both"/>
        <w:rPr>
          <w:rFonts w:ascii="Mute" w:hAnsi="Mute"/>
          <w:u w:val="single"/>
        </w:rPr>
      </w:pPr>
      <w:r w:rsidRPr="00873FA1">
        <w:rPr>
          <w:rFonts w:ascii="Mute" w:hAnsi="Mute"/>
          <w:u w:val="single"/>
        </w:rPr>
        <w:t xml:space="preserve">Investment Objectives of the </w:t>
      </w:r>
      <w:r w:rsidR="00BB4979">
        <w:rPr>
          <w:rFonts w:ascii="Mute" w:hAnsi="Mute"/>
          <w:u w:val="single"/>
        </w:rPr>
        <w:t>Scheme</w:t>
      </w:r>
    </w:p>
    <w:p w14:paraId="0F851F3E" w14:textId="0EC786BB" w:rsidR="006B5561" w:rsidRPr="006B5561" w:rsidRDefault="006B5561" w:rsidP="006B5561">
      <w:pPr>
        <w:pStyle w:val="Heading2"/>
        <w:tabs>
          <w:tab w:val="num" w:pos="0"/>
          <w:tab w:val="left" w:pos="284"/>
          <w:tab w:val="left" w:pos="8647"/>
        </w:tabs>
        <w:jc w:val="both"/>
        <w:rPr>
          <w:rFonts w:ascii="Mute" w:hAnsi="Mute"/>
          <w:b w:val="0"/>
          <w:color w:val="003865"/>
          <w:sz w:val="22"/>
        </w:rPr>
      </w:pPr>
      <w:r w:rsidRPr="006B5561">
        <w:rPr>
          <w:rFonts w:ascii="Mute" w:hAnsi="Mute"/>
          <w:b w:val="0"/>
          <w:color w:val="003865"/>
          <w:sz w:val="22"/>
        </w:rPr>
        <w:t xml:space="preserve">The Trustee’s objective is to invest the Scheme’s assets in the best interest of the members and beneficiaries, and in the case of a potential conflict of interest, in the sole interest of the members and beneficiaries. </w:t>
      </w:r>
    </w:p>
    <w:p w14:paraId="010C3E4E" w14:textId="19CF2FF5" w:rsidR="006B5561" w:rsidRPr="006B5561" w:rsidRDefault="006B5561" w:rsidP="006B5561">
      <w:pPr>
        <w:pStyle w:val="Heading2"/>
        <w:tabs>
          <w:tab w:val="num" w:pos="0"/>
          <w:tab w:val="left" w:pos="284"/>
          <w:tab w:val="left" w:pos="8647"/>
        </w:tabs>
        <w:jc w:val="both"/>
        <w:rPr>
          <w:rFonts w:ascii="Mute" w:hAnsi="Mute"/>
          <w:b w:val="0"/>
          <w:color w:val="003865"/>
          <w:sz w:val="22"/>
        </w:rPr>
      </w:pPr>
      <w:r w:rsidRPr="006B5561">
        <w:rPr>
          <w:rFonts w:ascii="Mute" w:hAnsi="Mute"/>
          <w:b w:val="0"/>
          <w:color w:val="003865"/>
          <w:sz w:val="22"/>
        </w:rPr>
        <w:t>To guide them in their strategic management of the assets and control of various risks to which the Scheme is exposed, the Trustee (in consultation with the Company) has adopted the following objectives:</w:t>
      </w:r>
    </w:p>
    <w:p w14:paraId="4DBEF354" w14:textId="114EDB4C" w:rsidR="006B5561" w:rsidRPr="006B5561" w:rsidRDefault="006B5561" w:rsidP="00997548">
      <w:pPr>
        <w:pStyle w:val="Heading2"/>
        <w:numPr>
          <w:ilvl w:val="0"/>
          <w:numId w:val="3"/>
        </w:numPr>
        <w:tabs>
          <w:tab w:val="left" w:pos="284"/>
          <w:tab w:val="left" w:pos="8647"/>
        </w:tabs>
        <w:spacing w:after="120"/>
        <w:ind w:left="714" w:hanging="357"/>
        <w:jc w:val="both"/>
        <w:rPr>
          <w:rFonts w:ascii="Mute" w:hAnsi="Mute"/>
          <w:b w:val="0"/>
          <w:color w:val="003865"/>
          <w:sz w:val="22"/>
        </w:rPr>
      </w:pPr>
      <w:r w:rsidRPr="006B5561">
        <w:rPr>
          <w:rFonts w:ascii="Mute" w:hAnsi="Mute"/>
          <w:b w:val="0"/>
          <w:color w:val="003865"/>
          <w:sz w:val="22"/>
        </w:rPr>
        <w:t xml:space="preserve">To make sure that obligations to the beneficiaries of the Scheme are met. </w:t>
      </w:r>
    </w:p>
    <w:p w14:paraId="3189B1D0" w14:textId="34F21075" w:rsidR="006B5561" w:rsidRPr="006B5561" w:rsidRDefault="006B5561" w:rsidP="00F53014">
      <w:pPr>
        <w:pStyle w:val="Heading2"/>
        <w:numPr>
          <w:ilvl w:val="0"/>
          <w:numId w:val="3"/>
        </w:numPr>
        <w:tabs>
          <w:tab w:val="left" w:pos="284"/>
          <w:tab w:val="left" w:pos="8647"/>
        </w:tabs>
        <w:jc w:val="both"/>
        <w:rPr>
          <w:rFonts w:ascii="Mute" w:hAnsi="Mute"/>
          <w:b w:val="0"/>
          <w:color w:val="003865"/>
          <w:sz w:val="22"/>
        </w:rPr>
      </w:pPr>
      <w:r w:rsidRPr="006B5561">
        <w:rPr>
          <w:rFonts w:ascii="Mute" w:hAnsi="Mute"/>
          <w:b w:val="0"/>
          <w:color w:val="003865"/>
          <w:sz w:val="22"/>
        </w:rPr>
        <w:t xml:space="preserve">To pay due regard to </w:t>
      </w:r>
      <w:r w:rsidR="00582C32">
        <w:rPr>
          <w:rFonts w:ascii="Mute" w:hAnsi="Mute"/>
          <w:b w:val="0"/>
          <w:color w:val="003865"/>
          <w:sz w:val="22"/>
        </w:rPr>
        <w:t xml:space="preserve">the level of covenant support provided by </w:t>
      </w:r>
      <w:r w:rsidRPr="006B5561">
        <w:rPr>
          <w:rFonts w:ascii="Mute" w:hAnsi="Mute"/>
          <w:b w:val="0"/>
          <w:color w:val="003865"/>
          <w:sz w:val="22"/>
        </w:rPr>
        <w:t>Napp Pharmaceutical Holdings Limited</w:t>
      </w:r>
      <w:r w:rsidR="00582C32">
        <w:rPr>
          <w:rFonts w:ascii="Mute" w:hAnsi="Mute"/>
          <w:b w:val="0"/>
          <w:color w:val="003865"/>
          <w:sz w:val="22"/>
        </w:rPr>
        <w:t>.</w:t>
      </w:r>
    </w:p>
    <w:p w14:paraId="05A1B5F6" w14:textId="413AC781" w:rsidR="00EA505D" w:rsidRPr="00873FA1" w:rsidRDefault="00EA505D" w:rsidP="00EA505D">
      <w:pPr>
        <w:pStyle w:val="Heading2"/>
        <w:tabs>
          <w:tab w:val="num" w:pos="0"/>
          <w:tab w:val="left" w:pos="284"/>
          <w:tab w:val="left" w:pos="8647"/>
        </w:tabs>
        <w:jc w:val="both"/>
        <w:rPr>
          <w:rFonts w:ascii="Mute" w:hAnsi="Mute"/>
          <w:u w:val="single"/>
        </w:rPr>
      </w:pPr>
      <w:r>
        <w:rPr>
          <w:rFonts w:ascii="Mute" w:hAnsi="Mute"/>
          <w:u w:val="single"/>
        </w:rPr>
        <w:t>Review of the SIP</w:t>
      </w:r>
    </w:p>
    <w:p w14:paraId="33CA9B3F" w14:textId="77777777" w:rsidR="00582C32" w:rsidRPr="00C629FF" w:rsidRDefault="00004791" w:rsidP="00EA505D">
      <w:pPr>
        <w:pStyle w:val="ListBullet2"/>
        <w:rPr>
          <w:rFonts w:cs="Arial"/>
          <w:lang w:val="en-GB"/>
        </w:rPr>
      </w:pPr>
      <w:r w:rsidRPr="00004791">
        <w:rPr>
          <w:rFonts w:cs="Arial"/>
          <w:lang w:val="en-GB"/>
        </w:rPr>
        <w:t>Dur</w:t>
      </w:r>
      <w:r>
        <w:rPr>
          <w:rFonts w:cs="Arial"/>
          <w:lang w:val="en-GB"/>
        </w:rPr>
        <w:t>ing the year to 31 December 202</w:t>
      </w:r>
      <w:r w:rsidR="003B2480">
        <w:rPr>
          <w:rFonts w:cs="Arial"/>
          <w:lang w:val="en-GB"/>
        </w:rPr>
        <w:t>5</w:t>
      </w:r>
      <w:r w:rsidR="0021413E">
        <w:rPr>
          <w:rFonts w:cs="Arial"/>
          <w:lang w:val="en-GB"/>
        </w:rPr>
        <w:t>,</w:t>
      </w:r>
      <w:r w:rsidRPr="00004791">
        <w:rPr>
          <w:rFonts w:cs="Arial"/>
          <w:lang w:val="en-GB"/>
        </w:rPr>
        <w:t xml:space="preserve"> </w:t>
      </w:r>
      <w:r w:rsidRPr="00C629FF">
        <w:rPr>
          <w:rFonts w:cs="Arial"/>
          <w:lang w:val="en-GB"/>
        </w:rPr>
        <w:t>the Trustee reviewed the Scheme’s SIP</w:t>
      </w:r>
      <w:r w:rsidR="00487962" w:rsidRPr="00C629FF">
        <w:rPr>
          <w:rFonts w:cs="Arial"/>
          <w:lang w:val="en-GB"/>
        </w:rPr>
        <w:t xml:space="preserve"> </w:t>
      </w:r>
      <w:r w:rsidR="003B2480" w:rsidRPr="00C629FF">
        <w:rPr>
          <w:rFonts w:cs="Arial"/>
          <w:lang w:val="en-GB"/>
        </w:rPr>
        <w:t xml:space="preserve">in November 2025, updating for the removal of the Scheme’s </w:t>
      </w:r>
      <w:r w:rsidR="00582C32" w:rsidRPr="00C629FF">
        <w:rPr>
          <w:rFonts w:cs="Arial"/>
          <w:lang w:val="en-GB"/>
        </w:rPr>
        <w:t xml:space="preserve">leveraged </w:t>
      </w:r>
      <w:r w:rsidR="003B2480" w:rsidRPr="00C629FF">
        <w:rPr>
          <w:rFonts w:cs="Arial"/>
          <w:lang w:val="en-GB"/>
        </w:rPr>
        <w:t>liability matching funds</w:t>
      </w:r>
      <w:r w:rsidR="00582C32" w:rsidRPr="00C629FF">
        <w:rPr>
          <w:rFonts w:cs="Arial"/>
          <w:lang w:val="en-GB"/>
        </w:rPr>
        <w:t xml:space="preserve"> and investing solely in unleveraged nominal and index-linked gilt funds with BlackRock</w:t>
      </w:r>
      <w:r w:rsidR="0021413E" w:rsidRPr="00C629FF">
        <w:rPr>
          <w:rFonts w:cs="Arial"/>
          <w:lang w:val="en-GB"/>
        </w:rPr>
        <w:t>.</w:t>
      </w:r>
      <w:r w:rsidRPr="00C629FF">
        <w:rPr>
          <w:rFonts w:cs="Arial"/>
          <w:lang w:val="en-GB"/>
        </w:rPr>
        <w:t xml:space="preserve"> </w:t>
      </w:r>
    </w:p>
    <w:p w14:paraId="71D2A4C0" w14:textId="3C5A5A2F" w:rsidR="00582C32" w:rsidRDefault="00004791" w:rsidP="00EA505D">
      <w:pPr>
        <w:pStyle w:val="ListBullet2"/>
        <w:rPr>
          <w:rFonts w:cs="Arial"/>
          <w:lang w:val="en-GB"/>
        </w:rPr>
      </w:pPr>
      <w:r w:rsidRPr="00C629FF">
        <w:rPr>
          <w:rFonts w:cs="Arial"/>
          <w:lang w:val="en-GB"/>
        </w:rPr>
        <w:t xml:space="preserve">The SIP was updated to reflect </w:t>
      </w:r>
      <w:r w:rsidR="00582C32" w:rsidRPr="00C629FF">
        <w:rPr>
          <w:rFonts w:cs="Arial"/>
          <w:lang w:val="en-GB"/>
        </w:rPr>
        <w:t xml:space="preserve">this </w:t>
      </w:r>
      <w:r w:rsidR="0021413E" w:rsidRPr="00C629FF">
        <w:rPr>
          <w:rFonts w:cs="Arial"/>
          <w:lang w:val="en-GB"/>
        </w:rPr>
        <w:t>and</w:t>
      </w:r>
      <w:r w:rsidR="001914BE" w:rsidRPr="00C629FF">
        <w:rPr>
          <w:rFonts w:cs="Arial"/>
          <w:lang w:val="en-GB"/>
        </w:rPr>
        <w:t xml:space="preserve"> can be found online here: </w:t>
      </w:r>
      <w:r w:rsidR="00582C32" w:rsidRPr="00582C32">
        <w:rPr>
          <w:rFonts w:cs="Arial"/>
          <w:lang w:val="en-GB"/>
        </w:rPr>
        <w:t>https://napp.co.uk/wp-content/uploads/2025/11/Statement-of-Investment-Principles-2025.pdf</w:t>
      </w:r>
      <w:r w:rsidR="00582C32" w:rsidRPr="00582C32" w:rsidDel="00582C32">
        <w:rPr>
          <w:rFonts w:cs="Arial"/>
          <w:highlight w:val="yellow"/>
          <w:lang w:val="en-GB"/>
        </w:rPr>
        <w:t xml:space="preserve"> </w:t>
      </w:r>
    </w:p>
    <w:p w14:paraId="19505097" w14:textId="3AB478E1" w:rsidR="00C90E81" w:rsidRPr="00EA505D" w:rsidRDefault="00C90E81" w:rsidP="00EA505D">
      <w:pPr>
        <w:pStyle w:val="ListBullet2"/>
        <w:rPr>
          <w:rFonts w:cs="Arial"/>
          <w:b/>
          <w:color w:val="009DE0"/>
          <w:sz w:val="24"/>
          <w:u w:val="single"/>
          <w:lang w:val="en-GB"/>
        </w:rPr>
      </w:pPr>
      <w:r w:rsidRPr="00EA505D">
        <w:rPr>
          <w:rFonts w:cs="Arial"/>
          <w:b/>
          <w:color w:val="009DE0"/>
          <w:sz w:val="24"/>
          <w:u w:val="single"/>
          <w:lang w:val="en-GB"/>
        </w:rPr>
        <w:t>Policy on ESG, Stewardship and Climate Change</w:t>
      </w:r>
    </w:p>
    <w:p w14:paraId="76CC6149" w14:textId="2D2DEA67" w:rsidR="00986D54" w:rsidRDefault="00986D54" w:rsidP="00986D54">
      <w:pPr>
        <w:pStyle w:val="Filestamp"/>
        <w:tabs>
          <w:tab w:val="left" w:pos="284"/>
          <w:tab w:val="left" w:pos="8647"/>
        </w:tabs>
        <w:jc w:val="both"/>
        <w:rPr>
          <w:rFonts w:cs="Arial"/>
          <w:noProof w:val="0"/>
          <w:color w:val="003865"/>
          <w:sz w:val="22"/>
          <w:lang w:val="en-GB"/>
        </w:rPr>
      </w:pPr>
      <w:r w:rsidRPr="00115EA1">
        <w:rPr>
          <w:rFonts w:cs="Arial"/>
          <w:noProof w:val="0"/>
          <w:color w:val="003865"/>
          <w:sz w:val="22"/>
          <w:lang w:val="en-GB"/>
        </w:rPr>
        <w:t xml:space="preserve">The </w:t>
      </w:r>
      <w:r w:rsidR="00BB4979">
        <w:rPr>
          <w:rFonts w:cs="Arial"/>
          <w:noProof w:val="0"/>
          <w:color w:val="003865"/>
          <w:sz w:val="22"/>
          <w:lang w:val="en-GB"/>
        </w:rPr>
        <w:t>Scheme</w:t>
      </w:r>
      <w:r w:rsidRPr="00115EA1">
        <w:rPr>
          <w:rFonts w:cs="Arial"/>
          <w:noProof w:val="0"/>
          <w:color w:val="003865"/>
          <w:sz w:val="22"/>
          <w:lang w:val="en-GB"/>
        </w:rPr>
        <w:t xml:space="preserve">’s SIP includes the </w:t>
      </w:r>
      <w:r>
        <w:rPr>
          <w:rFonts w:cs="Arial"/>
          <w:noProof w:val="0"/>
          <w:color w:val="003865"/>
          <w:sz w:val="22"/>
          <w:lang w:val="en-GB"/>
        </w:rPr>
        <w:t>Trustee</w:t>
      </w:r>
      <w:r w:rsidRPr="00115EA1">
        <w:rPr>
          <w:rFonts w:cs="Arial"/>
          <w:noProof w:val="0"/>
          <w:color w:val="003865"/>
          <w:sz w:val="22"/>
          <w:lang w:val="en-GB"/>
        </w:rPr>
        <w:t>’</w:t>
      </w:r>
      <w:r>
        <w:rPr>
          <w:rFonts w:cs="Arial"/>
          <w:noProof w:val="0"/>
          <w:color w:val="003865"/>
          <w:sz w:val="22"/>
          <w:lang w:val="en-GB"/>
        </w:rPr>
        <w:t>s</w:t>
      </w:r>
      <w:r w:rsidRPr="00115EA1">
        <w:rPr>
          <w:rFonts w:cs="Arial"/>
          <w:noProof w:val="0"/>
          <w:color w:val="003865"/>
          <w:sz w:val="22"/>
          <w:lang w:val="en-GB"/>
        </w:rPr>
        <w:t xml:space="preserve"> policy on Environmental, Social and Governance (“ESG”) factors, stewardship and climate change.  This policy sets out the </w:t>
      </w:r>
      <w:r>
        <w:rPr>
          <w:rFonts w:cs="Arial"/>
          <w:noProof w:val="0"/>
          <w:color w:val="003865"/>
          <w:sz w:val="22"/>
          <w:lang w:val="en-GB"/>
        </w:rPr>
        <w:t>Trustee</w:t>
      </w:r>
      <w:r w:rsidRPr="00115EA1">
        <w:rPr>
          <w:rFonts w:cs="Arial"/>
          <w:noProof w:val="0"/>
          <w:color w:val="003865"/>
          <w:sz w:val="22"/>
          <w:lang w:val="en-GB"/>
        </w:rPr>
        <w:t>’</w:t>
      </w:r>
      <w:r>
        <w:rPr>
          <w:rFonts w:cs="Arial"/>
          <w:noProof w:val="0"/>
          <w:color w:val="003865"/>
          <w:sz w:val="22"/>
          <w:lang w:val="en-GB"/>
        </w:rPr>
        <w:t>s</w:t>
      </w:r>
      <w:r w:rsidRPr="00115EA1">
        <w:rPr>
          <w:rFonts w:cs="Arial"/>
          <w:noProof w:val="0"/>
          <w:color w:val="003865"/>
          <w:sz w:val="22"/>
          <w:lang w:val="en-GB"/>
        </w:rPr>
        <w:t xml:space="preserve"> beliefs on ESG and climate change and the processes followed by the </w:t>
      </w:r>
      <w:r>
        <w:rPr>
          <w:rFonts w:cs="Arial"/>
          <w:noProof w:val="0"/>
          <w:color w:val="003865"/>
          <w:sz w:val="22"/>
          <w:lang w:val="en-GB"/>
        </w:rPr>
        <w:t>Trustee</w:t>
      </w:r>
      <w:r w:rsidRPr="00115EA1">
        <w:rPr>
          <w:rFonts w:cs="Arial"/>
          <w:noProof w:val="0"/>
          <w:color w:val="003865"/>
          <w:sz w:val="22"/>
          <w:lang w:val="en-GB"/>
        </w:rPr>
        <w:t xml:space="preserve"> in relation to voting rights and stewardship. </w:t>
      </w:r>
      <w:r w:rsidR="00BB4979">
        <w:rPr>
          <w:rFonts w:cs="Arial"/>
          <w:noProof w:val="0"/>
          <w:color w:val="003865"/>
          <w:sz w:val="22"/>
          <w:lang w:val="en-GB"/>
        </w:rPr>
        <w:t>The Trustee</w:t>
      </w:r>
      <w:r w:rsidRPr="00115EA1">
        <w:rPr>
          <w:rFonts w:cs="Arial"/>
          <w:noProof w:val="0"/>
          <w:color w:val="003865"/>
          <w:sz w:val="22"/>
          <w:lang w:val="en-GB"/>
        </w:rPr>
        <w:t xml:space="preserve"> keep</w:t>
      </w:r>
      <w:r w:rsidR="00BB4979">
        <w:rPr>
          <w:rFonts w:cs="Arial"/>
          <w:noProof w:val="0"/>
          <w:color w:val="003865"/>
          <w:sz w:val="22"/>
          <w:lang w:val="en-GB"/>
        </w:rPr>
        <w:t>s</w:t>
      </w:r>
      <w:r w:rsidRPr="00115EA1">
        <w:rPr>
          <w:rFonts w:cs="Arial"/>
          <w:noProof w:val="0"/>
          <w:color w:val="003865"/>
          <w:sz w:val="22"/>
          <w:lang w:val="en-GB"/>
        </w:rPr>
        <w:t xml:space="preserve"> the policies under regular review with the SIP reviewed </w:t>
      </w:r>
      <w:r w:rsidR="0086650F">
        <w:rPr>
          <w:rFonts w:cs="Arial"/>
          <w:noProof w:val="0"/>
          <w:color w:val="003865"/>
          <w:sz w:val="22"/>
          <w:lang w:val="en-GB"/>
        </w:rPr>
        <w:t xml:space="preserve">normally </w:t>
      </w:r>
      <w:r w:rsidRPr="00115EA1">
        <w:rPr>
          <w:rFonts w:cs="Arial"/>
          <w:noProof w:val="0"/>
          <w:color w:val="003865"/>
          <w:sz w:val="22"/>
          <w:lang w:val="en-GB"/>
        </w:rPr>
        <w:t>annually.</w:t>
      </w:r>
    </w:p>
    <w:p w14:paraId="325B6206" w14:textId="1FAFB712" w:rsidR="00986D54" w:rsidRDefault="00986D54" w:rsidP="00115EA1">
      <w:pPr>
        <w:pStyle w:val="Filestamp"/>
        <w:tabs>
          <w:tab w:val="left" w:pos="284"/>
          <w:tab w:val="left" w:pos="8647"/>
        </w:tabs>
        <w:jc w:val="both"/>
        <w:rPr>
          <w:rFonts w:cs="Arial"/>
          <w:noProof w:val="0"/>
          <w:color w:val="003865"/>
          <w:sz w:val="22"/>
          <w:lang w:val="en-GB"/>
        </w:rPr>
      </w:pPr>
    </w:p>
    <w:p w14:paraId="75FE2CC8" w14:textId="248EEDC5" w:rsidR="00F03FB0" w:rsidRDefault="00F03FB0" w:rsidP="00F03FB0">
      <w:pPr>
        <w:pStyle w:val="Filestamp"/>
        <w:tabs>
          <w:tab w:val="left" w:pos="284"/>
          <w:tab w:val="left" w:pos="8647"/>
        </w:tabs>
        <w:jc w:val="both"/>
        <w:rPr>
          <w:rFonts w:cs="Arial"/>
          <w:noProof w:val="0"/>
          <w:color w:val="003865"/>
          <w:sz w:val="22"/>
          <w:lang w:val="en-GB"/>
        </w:rPr>
      </w:pPr>
      <w:r w:rsidRPr="00F03FB0">
        <w:rPr>
          <w:rFonts w:cs="Arial"/>
          <w:noProof w:val="0"/>
          <w:color w:val="003865"/>
          <w:sz w:val="22"/>
          <w:lang w:val="en-GB"/>
        </w:rPr>
        <w:t xml:space="preserve">The Trustee believes that </w:t>
      </w:r>
      <w:r w:rsidR="007104A2">
        <w:rPr>
          <w:rFonts w:cs="Arial"/>
          <w:noProof w:val="0"/>
          <w:color w:val="003865"/>
          <w:sz w:val="22"/>
          <w:lang w:val="en-GB"/>
        </w:rPr>
        <w:t xml:space="preserve">ESG </w:t>
      </w:r>
      <w:r w:rsidRPr="00F03FB0">
        <w:rPr>
          <w:rFonts w:cs="Arial"/>
          <w:noProof w:val="0"/>
          <w:color w:val="003865"/>
          <w:sz w:val="22"/>
          <w:lang w:val="en-GB"/>
        </w:rPr>
        <w:t xml:space="preserve">factors may have a material impact on investment risk and return outcomes, and that good stewardship can create and preserve value for companies and markets as a whole. The Trustee also recognises that long-term sustainability issues, particularly climate change, present risks and opportunities that increasingly require explicit consideration. </w:t>
      </w:r>
    </w:p>
    <w:p w14:paraId="3308FAC7" w14:textId="047A4628" w:rsidR="00F03FB0" w:rsidRDefault="00F03FB0" w:rsidP="00F03FB0">
      <w:pPr>
        <w:pStyle w:val="Filestamp"/>
        <w:tabs>
          <w:tab w:val="left" w:pos="284"/>
          <w:tab w:val="left" w:pos="8647"/>
        </w:tabs>
        <w:jc w:val="both"/>
        <w:rPr>
          <w:rFonts w:cs="Arial"/>
          <w:noProof w:val="0"/>
          <w:color w:val="003865"/>
          <w:sz w:val="22"/>
          <w:lang w:val="en-GB"/>
        </w:rPr>
      </w:pPr>
      <w:r w:rsidRPr="00F03FB0">
        <w:rPr>
          <w:rFonts w:cs="Arial"/>
          <w:noProof w:val="0"/>
          <w:color w:val="003865"/>
          <w:sz w:val="22"/>
          <w:lang w:val="en-GB"/>
        </w:rPr>
        <w:lastRenderedPageBreak/>
        <w:t xml:space="preserve">The Trustee has given appointed investment managers full discretion in evaluating ESG factors, including climate change considerations, and exercising voting rights and stewardship obligations attached to the investments, in accordance with their own corporate governance policies and current best practice, including the UK Corporate Governance Code and UK Stewardship Code. </w:t>
      </w:r>
    </w:p>
    <w:p w14:paraId="27ECD823" w14:textId="77777777" w:rsidR="00F03FB0" w:rsidRPr="00F03FB0" w:rsidRDefault="00F03FB0" w:rsidP="00F03FB0">
      <w:pPr>
        <w:pStyle w:val="Filestamp"/>
        <w:tabs>
          <w:tab w:val="left" w:pos="284"/>
          <w:tab w:val="left" w:pos="8647"/>
        </w:tabs>
        <w:jc w:val="both"/>
        <w:rPr>
          <w:rFonts w:cs="Arial"/>
          <w:noProof w:val="0"/>
          <w:color w:val="003865"/>
          <w:sz w:val="22"/>
          <w:lang w:val="en-GB"/>
        </w:rPr>
      </w:pPr>
    </w:p>
    <w:p w14:paraId="7A898386" w14:textId="5D31FF46" w:rsidR="00F03FB0" w:rsidRDefault="00F03FB0" w:rsidP="00F03FB0">
      <w:pPr>
        <w:pStyle w:val="Filestamp"/>
        <w:tabs>
          <w:tab w:val="left" w:pos="284"/>
          <w:tab w:val="left" w:pos="8647"/>
        </w:tabs>
        <w:jc w:val="both"/>
        <w:rPr>
          <w:rFonts w:cs="Arial"/>
          <w:noProof w:val="0"/>
          <w:color w:val="003865"/>
          <w:sz w:val="22"/>
          <w:lang w:val="en-GB"/>
        </w:rPr>
      </w:pPr>
      <w:r w:rsidRPr="00F03FB0">
        <w:rPr>
          <w:rFonts w:cs="Arial"/>
          <w:noProof w:val="0"/>
          <w:color w:val="003865"/>
          <w:sz w:val="22"/>
          <w:lang w:val="en-GB"/>
        </w:rPr>
        <w:t xml:space="preserve">The Trustee will monitor how ESG, climate change and stewardship </w:t>
      </w:r>
      <w:r w:rsidR="007104A2">
        <w:rPr>
          <w:rFonts w:cs="Arial"/>
          <w:noProof w:val="0"/>
          <w:color w:val="003865"/>
          <w:sz w:val="22"/>
          <w:lang w:val="en-GB"/>
        </w:rPr>
        <w:t>considerations are</w:t>
      </w:r>
      <w:r w:rsidR="007104A2" w:rsidRPr="00F03FB0">
        <w:rPr>
          <w:rFonts w:cs="Arial"/>
          <w:noProof w:val="0"/>
          <w:color w:val="003865"/>
          <w:sz w:val="22"/>
          <w:lang w:val="en-GB"/>
        </w:rPr>
        <w:t xml:space="preserve"> </w:t>
      </w:r>
      <w:r w:rsidRPr="00F03FB0">
        <w:rPr>
          <w:rFonts w:cs="Arial"/>
          <w:noProof w:val="0"/>
          <w:color w:val="003865"/>
          <w:sz w:val="22"/>
          <w:lang w:val="en-GB"/>
        </w:rPr>
        <w:t xml:space="preserve">integrated within investment processes. The Trustee will consider the investment consultant’s assessment of how each investment manager embeds ESG into its investment process and how the manager’s responsible investment philosophy aligns with the Trustee’s </w:t>
      </w:r>
      <w:r w:rsidR="00863A70">
        <w:rPr>
          <w:rFonts w:cs="Arial"/>
          <w:noProof w:val="0"/>
          <w:color w:val="003865"/>
          <w:sz w:val="22"/>
          <w:lang w:val="en-GB"/>
        </w:rPr>
        <w:t>expectations</w:t>
      </w:r>
      <w:r w:rsidRPr="00F03FB0">
        <w:rPr>
          <w:rFonts w:cs="Arial"/>
          <w:noProof w:val="0"/>
          <w:color w:val="003865"/>
          <w:sz w:val="22"/>
          <w:lang w:val="en-GB"/>
        </w:rPr>
        <w:t xml:space="preserve">. This includes the investment managers’ policies on voting and engagement. The Trustee will use this assessment in decisions around selection, retention and realisation of manager appointments. Monitoring </w:t>
      </w:r>
      <w:r w:rsidR="00863A70">
        <w:rPr>
          <w:rFonts w:cs="Arial"/>
          <w:noProof w:val="0"/>
          <w:color w:val="003865"/>
          <w:sz w:val="22"/>
          <w:lang w:val="en-GB"/>
        </w:rPr>
        <w:t xml:space="preserve">of the investment managers </w:t>
      </w:r>
      <w:r w:rsidRPr="00F03FB0">
        <w:rPr>
          <w:rFonts w:cs="Arial"/>
          <w:noProof w:val="0"/>
          <w:color w:val="003865"/>
          <w:sz w:val="22"/>
          <w:lang w:val="en-GB"/>
        </w:rPr>
        <w:t xml:space="preserve">is undertaken on a regular basis and is documented. </w:t>
      </w:r>
    </w:p>
    <w:p w14:paraId="7AEC3DB0" w14:textId="5ABEE7FA" w:rsidR="00F03FB0" w:rsidRPr="00F03FB0" w:rsidRDefault="00F03FB0" w:rsidP="00F03FB0">
      <w:pPr>
        <w:pStyle w:val="Filestamp"/>
        <w:tabs>
          <w:tab w:val="left" w:pos="284"/>
          <w:tab w:val="left" w:pos="8647"/>
        </w:tabs>
        <w:jc w:val="both"/>
        <w:rPr>
          <w:rFonts w:cs="Arial"/>
          <w:noProof w:val="0"/>
          <w:color w:val="003865"/>
          <w:sz w:val="22"/>
          <w:lang w:val="en-GB"/>
        </w:rPr>
      </w:pPr>
    </w:p>
    <w:p w14:paraId="0887A6B7" w14:textId="7144115E" w:rsidR="00F03FB0" w:rsidRDefault="00F03FB0" w:rsidP="00F03FB0">
      <w:pPr>
        <w:pStyle w:val="Filestamp"/>
        <w:tabs>
          <w:tab w:val="left" w:pos="284"/>
          <w:tab w:val="left" w:pos="8647"/>
        </w:tabs>
        <w:jc w:val="both"/>
        <w:rPr>
          <w:rFonts w:cs="Arial"/>
          <w:noProof w:val="0"/>
          <w:color w:val="003865"/>
          <w:sz w:val="22"/>
          <w:lang w:val="en-GB"/>
        </w:rPr>
      </w:pPr>
      <w:r w:rsidRPr="00F03FB0">
        <w:rPr>
          <w:rFonts w:cs="Arial"/>
          <w:noProof w:val="0"/>
          <w:color w:val="003865"/>
          <w:sz w:val="22"/>
          <w:lang w:val="en-GB"/>
        </w:rPr>
        <w:t>The Trustee can review the decisions made by their managers, including voting history (in respect of equities) and engagement activity, and can challenge such decisions to try to ensure the best long term performance over the medium to long term.</w:t>
      </w:r>
    </w:p>
    <w:p w14:paraId="3FEB7E69" w14:textId="6DB9800A" w:rsidR="00F03FB0" w:rsidRPr="00F03FB0" w:rsidRDefault="00F03FB0" w:rsidP="00F03FB0">
      <w:pPr>
        <w:pStyle w:val="Filestamp"/>
        <w:tabs>
          <w:tab w:val="left" w:pos="284"/>
          <w:tab w:val="left" w:pos="8647"/>
        </w:tabs>
        <w:jc w:val="both"/>
        <w:rPr>
          <w:rFonts w:cs="Arial"/>
          <w:noProof w:val="0"/>
          <w:color w:val="003865"/>
          <w:sz w:val="22"/>
          <w:lang w:val="en-GB"/>
        </w:rPr>
      </w:pPr>
    </w:p>
    <w:p w14:paraId="571377D8" w14:textId="1E7275F8" w:rsidR="00F03FB0" w:rsidRPr="00F03FB0" w:rsidRDefault="00F03FB0" w:rsidP="00F03FB0">
      <w:pPr>
        <w:pStyle w:val="Filestamp"/>
        <w:tabs>
          <w:tab w:val="left" w:pos="284"/>
          <w:tab w:val="left" w:pos="8647"/>
        </w:tabs>
        <w:jc w:val="both"/>
        <w:rPr>
          <w:rFonts w:cs="Arial"/>
          <w:noProof w:val="0"/>
          <w:color w:val="003865"/>
          <w:sz w:val="22"/>
          <w:lang w:val="en-GB"/>
        </w:rPr>
      </w:pPr>
      <w:r w:rsidRPr="00F03FB0">
        <w:rPr>
          <w:rFonts w:cs="Arial"/>
          <w:noProof w:val="0"/>
          <w:color w:val="003865"/>
          <w:sz w:val="22"/>
          <w:lang w:val="en-GB"/>
        </w:rPr>
        <w:t xml:space="preserve">The Trustee is supportive of the </w:t>
      </w:r>
      <w:r w:rsidR="00863A70">
        <w:rPr>
          <w:rFonts w:cs="Arial"/>
          <w:noProof w:val="0"/>
          <w:color w:val="003865"/>
          <w:sz w:val="22"/>
          <w:lang w:val="en-GB"/>
        </w:rPr>
        <w:t xml:space="preserve">updated </w:t>
      </w:r>
      <w:r w:rsidRPr="00F03FB0">
        <w:rPr>
          <w:rFonts w:cs="Arial"/>
          <w:noProof w:val="0"/>
          <w:color w:val="003865"/>
          <w:sz w:val="22"/>
          <w:lang w:val="en-GB"/>
        </w:rPr>
        <w:t>UK Stewardship Code published by the Financial Reporting Council</w:t>
      </w:r>
      <w:r w:rsidR="00863A70">
        <w:rPr>
          <w:rFonts w:cs="Arial"/>
          <w:noProof w:val="0"/>
          <w:color w:val="003865"/>
          <w:sz w:val="22"/>
          <w:lang w:val="en-GB"/>
        </w:rPr>
        <w:t>,</w:t>
      </w:r>
      <w:r w:rsidRPr="00F03FB0">
        <w:rPr>
          <w:rFonts w:cs="Arial"/>
          <w:noProof w:val="0"/>
          <w:color w:val="003865"/>
          <w:sz w:val="22"/>
          <w:lang w:val="en-GB"/>
        </w:rPr>
        <w:t xml:space="preserve"> and encourages the Scheme’s equity managers who are registered with the F</w:t>
      </w:r>
      <w:r w:rsidR="003661E5">
        <w:rPr>
          <w:rFonts w:cs="Arial"/>
          <w:noProof w:val="0"/>
          <w:color w:val="003865"/>
          <w:sz w:val="22"/>
          <w:lang w:val="en-GB"/>
        </w:rPr>
        <w:t>C</w:t>
      </w:r>
      <w:r w:rsidRPr="00F03FB0">
        <w:rPr>
          <w:rFonts w:cs="Arial"/>
          <w:noProof w:val="0"/>
          <w:color w:val="003865"/>
          <w:sz w:val="22"/>
          <w:lang w:val="en-GB"/>
        </w:rPr>
        <w:t>A to comply with the Code. Such managers are expected to report on their adherence to the UK Stewardship Code on an annual basis.</w:t>
      </w:r>
    </w:p>
    <w:p w14:paraId="3B0F81D4" w14:textId="7F4364F9" w:rsidR="0086650F" w:rsidRDefault="0086650F" w:rsidP="00F03FB0">
      <w:pPr>
        <w:pStyle w:val="Filestamp"/>
        <w:tabs>
          <w:tab w:val="left" w:pos="284"/>
          <w:tab w:val="left" w:pos="8647"/>
        </w:tabs>
        <w:jc w:val="both"/>
        <w:rPr>
          <w:rFonts w:cs="Arial"/>
          <w:noProof w:val="0"/>
          <w:color w:val="003865"/>
          <w:sz w:val="22"/>
          <w:lang w:val="en-GB"/>
        </w:rPr>
      </w:pPr>
    </w:p>
    <w:p w14:paraId="20E9909B" w14:textId="53B204E5" w:rsidR="00F03FB0" w:rsidRPr="00F03FB0" w:rsidRDefault="00F03FB0" w:rsidP="00F03FB0">
      <w:pPr>
        <w:pStyle w:val="Filestamp"/>
        <w:tabs>
          <w:tab w:val="left" w:pos="284"/>
          <w:tab w:val="left" w:pos="8647"/>
        </w:tabs>
        <w:jc w:val="both"/>
        <w:rPr>
          <w:rFonts w:cs="Arial"/>
          <w:noProof w:val="0"/>
          <w:color w:val="003865"/>
          <w:sz w:val="22"/>
          <w:lang w:val="en-GB"/>
        </w:rPr>
      </w:pPr>
      <w:r w:rsidRPr="00F03FB0">
        <w:rPr>
          <w:rFonts w:cs="Arial"/>
          <w:noProof w:val="0"/>
          <w:color w:val="003865"/>
          <w:sz w:val="22"/>
          <w:lang w:val="en-GB"/>
        </w:rPr>
        <w:t>Member views are not currently taken into account in the selection, retention and realisation of investments.</w:t>
      </w:r>
    </w:p>
    <w:p w14:paraId="42732F24" w14:textId="77777777" w:rsidR="00F03FB0" w:rsidRDefault="00F03FB0" w:rsidP="00F03FB0">
      <w:pPr>
        <w:pStyle w:val="Filestamp"/>
        <w:tabs>
          <w:tab w:val="left" w:pos="284"/>
          <w:tab w:val="left" w:pos="8647"/>
        </w:tabs>
        <w:jc w:val="both"/>
        <w:rPr>
          <w:rFonts w:cs="Arial"/>
          <w:noProof w:val="0"/>
          <w:color w:val="003865"/>
          <w:sz w:val="22"/>
          <w:lang w:val="en-GB"/>
        </w:rPr>
      </w:pPr>
    </w:p>
    <w:p w14:paraId="3A522829" w14:textId="6881EDA8" w:rsidR="00986D54" w:rsidRDefault="00F03FB0" w:rsidP="00F03FB0">
      <w:pPr>
        <w:pStyle w:val="Filestamp"/>
        <w:tabs>
          <w:tab w:val="left" w:pos="284"/>
          <w:tab w:val="left" w:pos="8647"/>
        </w:tabs>
        <w:jc w:val="both"/>
        <w:rPr>
          <w:rFonts w:cs="Arial"/>
          <w:noProof w:val="0"/>
          <w:color w:val="003865"/>
          <w:sz w:val="22"/>
          <w:lang w:val="en-GB"/>
        </w:rPr>
      </w:pPr>
      <w:r w:rsidRPr="00F03FB0">
        <w:rPr>
          <w:rFonts w:cs="Arial"/>
          <w:noProof w:val="0"/>
          <w:color w:val="003865"/>
          <w:sz w:val="22"/>
          <w:lang w:val="en-GB"/>
        </w:rPr>
        <w:t>The Trustee has not set any investment restrictions on the appointed investment managers in relation to particular products or activities, but may consider this in future.</w:t>
      </w:r>
    </w:p>
    <w:p w14:paraId="6A27F892" w14:textId="765992B9" w:rsidR="00F03FB0" w:rsidRDefault="00F03FB0" w:rsidP="00F03FB0">
      <w:pPr>
        <w:pStyle w:val="Filestamp"/>
        <w:tabs>
          <w:tab w:val="left" w:pos="284"/>
          <w:tab w:val="left" w:pos="8647"/>
        </w:tabs>
        <w:jc w:val="both"/>
        <w:rPr>
          <w:rFonts w:cs="Arial"/>
          <w:noProof w:val="0"/>
          <w:color w:val="003865"/>
          <w:sz w:val="22"/>
          <w:highlight w:val="yellow"/>
          <w:lang w:val="en-GB"/>
        </w:rPr>
      </w:pPr>
    </w:p>
    <w:p w14:paraId="4EE988D7" w14:textId="6A1FBFC0" w:rsidR="001914BE" w:rsidRPr="001914BE" w:rsidRDefault="001914BE" w:rsidP="001914BE">
      <w:pPr>
        <w:pStyle w:val="Filestamp"/>
        <w:tabs>
          <w:tab w:val="left" w:pos="284"/>
          <w:tab w:val="left" w:pos="8647"/>
        </w:tabs>
        <w:jc w:val="both"/>
        <w:rPr>
          <w:rFonts w:cs="Arial"/>
          <w:noProof w:val="0"/>
          <w:color w:val="003865"/>
          <w:sz w:val="22"/>
          <w:lang w:val="en-GB"/>
        </w:rPr>
      </w:pPr>
      <w:r>
        <w:rPr>
          <w:rFonts w:cs="Arial"/>
          <w:noProof w:val="0"/>
          <w:color w:val="003865"/>
          <w:sz w:val="22"/>
          <w:lang w:val="en-GB"/>
        </w:rPr>
        <w:t>The Trustee</w:t>
      </w:r>
      <w:r w:rsidRPr="001914BE">
        <w:rPr>
          <w:rFonts w:cs="Arial"/>
          <w:noProof w:val="0"/>
          <w:color w:val="003865"/>
          <w:sz w:val="22"/>
          <w:lang w:val="en-GB"/>
        </w:rPr>
        <w:t xml:space="preserve"> recognise</w:t>
      </w:r>
      <w:r>
        <w:rPr>
          <w:rFonts w:cs="Arial"/>
          <w:noProof w:val="0"/>
          <w:color w:val="003865"/>
          <w:sz w:val="22"/>
          <w:lang w:val="en-GB"/>
        </w:rPr>
        <w:t>s that when the Scheme</w:t>
      </w:r>
      <w:r w:rsidRPr="001914BE">
        <w:rPr>
          <w:rFonts w:cs="Arial"/>
          <w:noProof w:val="0"/>
          <w:color w:val="003865"/>
          <w:sz w:val="22"/>
          <w:lang w:val="en-GB"/>
        </w:rPr>
        <w:t xml:space="preserve"> invests in pooled funds, they have no voting rights attached to the underlying investments. The Trustee ha</w:t>
      </w:r>
      <w:r>
        <w:rPr>
          <w:rFonts w:cs="Arial"/>
          <w:noProof w:val="0"/>
          <w:color w:val="003865"/>
          <w:sz w:val="22"/>
          <w:lang w:val="en-GB"/>
        </w:rPr>
        <w:t>s</w:t>
      </w:r>
      <w:r w:rsidRPr="001914BE">
        <w:rPr>
          <w:rFonts w:cs="Arial"/>
          <w:noProof w:val="0"/>
          <w:color w:val="003865"/>
          <w:sz w:val="22"/>
          <w:lang w:val="en-GB"/>
        </w:rPr>
        <w:t xml:space="preserve"> therefore given the investment manager</w:t>
      </w:r>
      <w:r w:rsidR="00013D7D">
        <w:rPr>
          <w:rFonts w:cs="Arial"/>
          <w:noProof w:val="0"/>
          <w:color w:val="003865"/>
          <w:sz w:val="22"/>
          <w:lang w:val="en-GB"/>
        </w:rPr>
        <w:t>s</w:t>
      </w:r>
      <w:r w:rsidRPr="001914BE">
        <w:rPr>
          <w:rFonts w:cs="Arial"/>
          <w:noProof w:val="0"/>
          <w:color w:val="003865"/>
          <w:sz w:val="22"/>
          <w:lang w:val="en-GB"/>
        </w:rPr>
        <w:t xml:space="preserve"> full discretion when evaluating ESG issues and in exercising rights and stewardship obligations attached to the </w:t>
      </w:r>
      <w:r>
        <w:rPr>
          <w:rFonts w:cs="Arial"/>
          <w:noProof w:val="0"/>
          <w:color w:val="003865"/>
          <w:sz w:val="22"/>
          <w:lang w:val="en-GB"/>
        </w:rPr>
        <w:t>Scheme</w:t>
      </w:r>
      <w:r w:rsidRPr="001914BE">
        <w:rPr>
          <w:rFonts w:cs="Arial"/>
          <w:noProof w:val="0"/>
          <w:color w:val="003865"/>
          <w:sz w:val="22"/>
          <w:lang w:val="en-GB"/>
        </w:rPr>
        <w:t>’s investments. The Trustee review</w:t>
      </w:r>
      <w:r>
        <w:rPr>
          <w:rFonts w:cs="Arial"/>
          <w:noProof w:val="0"/>
          <w:color w:val="003865"/>
          <w:sz w:val="22"/>
          <w:lang w:val="en-GB"/>
        </w:rPr>
        <w:t>s</w:t>
      </w:r>
      <w:r w:rsidRPr="001914BE">
        <w:rPr>
          <w:rFonts w:cs="Arial"/>
          <w:noProof w:val="0"/>
          <w:color w:val="003865"/>
          <w:sz w:val="22"/>
          <w:lang w:val="en-GB"/>
        </w:rPr>
        <w:t xml:space="preserve"> the annual stewardship report, prepared by the investment manager</w:t>
      </w:r>
      <w:r w:rsidR="00013D7D">
        <w:rPr>
          <w:rFonts w:cs="Arial"/>
          <w:noProof w:val="0"/>
          <w:color w:val="003865"/>
          <w:sz w:val="22"/>
          <w:lang w:val="en-GB"/>
        </w:rPr>
        <w:t>s</w:t>
      </w:r>
      <w:r w:rsidRPr="001914BE">
        <w:rPr>
          <w:rFonts w:cs="Arial"/>
          <w:noProof w:val="0"/>
          <w:color w:val="003865"/>
          <w:sz w:val="22"/>
          <w:lang w:val="en-GB"/>
        </w:rPr>
        <w:t xml:space="preserve">, to understand the actions taken in these areas. Similarly, the </w:t>
      </w:r>
      <w:r>
        <w:rPr>
          <w:rFonts w:cs="Arial"/>
          <w:noProof w:val="0"/>
          <w:color w:val="003865"/>
          <w:sz w:val="22"/>
          <w:lang w:val="en-GB"/>
        </w:rPr>
        <w:t>Scheme</w:t>
      </w:r>
      <w:r w:rsidRPr="001914BE">
        <w:rPr>
          <w:rFonts w:cs="Arial"/>
          <w:noProof w:val="0"/>
          <w:color w:val="003865"/>
          <w:sz w:val="22"/>
          <w:lang w:val="en-GB"/>
        </w:rPr>
        <w:t>’s voting rights are exercised by its investment manager in accordance with its own corporate governance policies, and taking account of current best practice including the UK Corporate Governance Code and the UK Stewardship Code. The investment manager</w:t>
      </w:r>
      <w:r w:rsidR="00013D7D">
        <w:rPr>
          <w:rFonts w:cs="Arial"/>
          <w:noProof w:val="0"/>
          <w:color w:val="003865"/>
          <w:sz w:val="22"/>
          <w:lang w:val="en-GB"/>
        </w:rPr>
        <w:t>s</w:t>
      </w:r>
      <w:r w:rsidRPr="001914BE">
        <w:rPr>
          <w:rFonts w:cs="Arial"/>
          <w:noProof w:val="0"/>
          <w:color w:val="003865"/>
          <w:sz w:val="22"/>
          <w:lang w:val="en-GB"/>
        </w:rPr>
        <w:t xml:space="preserve"> </w:t>
      </w:r>
      <w:r w:rsidR="00013D7D">
        <w:rPr>
          <w:rFonts w:cs="Arial"/>
          <w:noProof w:val="0"/>
          <w:color w:val="003865"/>
          <w:sz w:val="22"/>
          <w:lang w:val="en-GB"/>
        </w:rPr>
        <w:t>are</w:t>
      </w:r>
      <w:r w:rsidRPr="001914BE">
        <w:rPr>
          <w:rFonts w:cs="Arial"/>
          <w:noProof w:val="0"/>
          <w:color w:val="003865"/>
          <w:sz w:val="22"/>
          <w:lang w:val="en-GB"/>
        </w:rPr>
        <w:t xml:space="preserve"> expected to provide voting reports to the Trustee on request. </w:t>
      </w:r>
    </w:p>
    <w:p w14:paraId="70336D34" w14:textId="139D576C" w:rsidR="001914BE" w:rsidRPr="001914BE" w:rsidRDefault="001914BE" w:rsidP="001914BE">
      <w:pPr>
        <w:pStyle w:val="Filestamp"/>
        <w:tabs>
          <w:tab w:val="left" w:pos="284"/>
          <w:tab w:val="left" w:pos="8647"/>
        </w:tabs>
        <w:jc w:val="both"/>
        <w:rPr>
          <w:rFonts w:cs="Arial"/>
          <w:noProof w:val="0"/>
          <w:color w:val="003865"/>
          <w:sz w:val="22"/>
          <w:lang w:val="en-GB"/>
        </w:rPr>
      </w:pPr>
    </w:p>
    <w:p w14:paraId="5435644D" w14:textId="572958B4" w:rsidR="001914BE" w:rsidRDefault="001914BE" w:rsidP="001914BE">
      <w:pPr>
        <w:pStyle w:val="Filestamp"/>
        <w:tabs>
          <w:tab w:val="left" w:pos="284"/>
          <w:tab w:val="left" w:pos="8647"/>
        </w:tabs>
        <w:jc w:val="both"/>
        <w:rPr>
          <w:rFonts w:cs="Arial"/>
          <w:noProof w:val="0"/>
          <w:color w:val="003865"/>
          <w:sz w:val="22"/>
          <w:highlight w:val="yellow"/>
          <w:lang w:val="en-GB"/>
        </w:rPr>
      </w:pPr>
      <w:r w:rsidRPr="001914BE">
        <w:rPr>
          <w:rFonts w:cs="Arial"/>
          <w:noProof w:val="0"/>
          <w:color w:val="003865"/>
          <w:sz w:val="22"/>
          <w:lang w:val="en-GB"/>
        </w:rPr>
        <w:t xml:space="preserve">The Trustee </w:t>
      </w:r>
      <w:r>
        <w:rPr>
          <w:rFonts w:cs="Arial"/>
          <w:noProof w:val="0"/>
          <w:color w:val="003865"/>
          <w:sz w:val="22"/>
          <w:lang w:val="en-GB"/>
        </w:rPr>
        <w:t>is</w:t>
      </w:r>
      <w:r w:rsidRPr="001914BE">
        <w:rPr>
          <w:rFonts w:cs="Arial"/>
          <w:noProof w:val="0"/>
          <w:color w:val="003865"/>
          <w:sz w:val="22"/>
          <w:lang w:val="en-GB"/>
        </w:rPr>
        <w:t xml:space="preserve"> satisfied that this policy corresponds with its responsibilities to the beneficiaries of the </w:t>
      </w:r>
      <w:r>
        <w:rPr>
          <w:rFonts w:cs="Arial"/>
          <w:noProof w:val="0"/>
          <w:color w:val="003865"/>
          <w:sz w:val="22"/>
          <w:lang w:val="en-GB"/>
        </w:rPr>
        <w:t>Scheme</w:t>
      </w:r>
      <w:r w:rsidRPr="001914BE">
        <w:rPr>
          <w:rFonts w:cs="Arial"/>
          <w:noProof w:val="0"/>
          <w:color w:val="003865"/>
          <w:sz w:val="22"/>
          <w:lang w:val="en-GB"/>
        </w:rPr>
        <w:t xml:space="preserve">. Should the Trustee consider that BlackRock </w:t>
      </w:r>
      <w:r>
        <w:rPr>
          <w:rFonts w:cs="Arial"/>
          <w:noProof w:val="0"/>
          <w:color w:val="003865"/>
          <w:sz w:val="22"/>
          <w:lang w:val="en-GB"/>
        </w:rPr>
        <w:t>(or Lothbury</w:t>
      </w:r>
      <w:r w:rsidR="00013D7D">
        <w:rPr>
          <w:rFonts w:cs="Arial"/>
          <w:noProof w:val="0"/>
          <w:color w:val="003865"/>
          <w:sz w:val="22"/>
          <w:lang w:val="en-GB"/>
        </w:rPr>
        <w:t>, where relevant</w:t>
      </w:r>
      <w:r>
        <w:rPr>
          <w:rFonts w:cs="Arial"/>
          <w:noProof w:val="0"/>
          <w:color w:val="003865"/>
          <w:sz w:val="22"/>
          <w:lang w:val="en-GB"/>
        </w:rPr>
        <w:t xml:space="preserve">) </w:t>
      </w:r>
      <w:r w:rsidRPr="001914BE">
        <w:rPr>
          <w:rFonts w:cs="Arial"/>
          <w:noProof w:val="0"/>
          <w:color w:val="003865"/>
          <w:sz w:val="22"/>
          <w:lang w:val="en-GB"/>
        </w:rPr>
        <w:t xml:space="preserve">have failed to align their own engagement policies with those of the Trustee, the Trustee will notify </w:t>
      </w:r>
      <w:r w:rsidR="00863A70">
        <w:rPr>
          <w:rFonts w:cs="Arial"/>
          <w:noProof w:val="0"/>
          <w:color w:val="003865"/>
          <w:sz w:val="22"/>
          <w:lang w:val="en-GB"/>
        </w:rPr>
        <w:t>the investment manager</w:t>
      </w:r>
      <w:r w:rsidR="00863A70" w:rsidRPr="001914BE">
        <w:rPr>
          <w:rFonts w:cs="Arial"/>
          <w:noProof w:val="0"/>
          <w:color w:val="003865"/>
          <w:sz w:val="22"/>
          <w:lang w:val="en-GB"/>
        </w:rPr>
        <w:t xml:space="preserve"> </w:t>
      </w:r>
      <w:r w:rsidRPr="001914BE">
        <w:rPr>
          <w:rFonts w:cs="Arial"/>
          <w:noProof w:val="0"/>
          <w:color w:val="003865"/>
          <w:sz w:val="22"/>
          <w:lang w:val="en-GB"/>
        </w:rPr>
        <w:t>and consider disinvesting some or all of the assets held with them or seek to renegotiate commercial terms.</w:t>
      </w:r>
    </w:p>
    <w:p w14:paraId="345A98B9" w14:textId="77777777" w:rsidR="00997548" w:rsidRDefault="00997548" w:rsidP="00997548">
      <w:pPr>
        <w:pStyle w:val="Heading2"/>
        <w:tabs>
          <w:tab w:val="num" w:pos="0"/>
          <w:tab w:val="left" w:pos="284"/>
          <w:tab w:val="left" w:pos="8647"/>
        </w:tabs>
        <w:spacing w:after="0"/>
        <w:jc w:val="both"/>
        <w:rPr>
          <w:rFonts w:ascii="Mute" w:hAnsi="Mute" w:cs="Times New Roman"/>
          <w:b w:val="0"/>
          <w:color w:val="003865"/>
          <w:sz w:val="22"/>
          <w:lang w:val="en-US"/>
        </w:rPr>
      </w:pPr>
    </w:p>
    <w:p w14:paraId="7D2E2489" w14:textId="427241FF" w:rsidR="006A6A25" w:rsidRDefault="00F03FB0" w:rsidP="000E2EF5">
      <w:pPr>
        <w:pStyle w:val="Heading2"/>
        <w:tabs>
          <w:tab w:val="num" w:pos="0"/>
          <w:tab w:val="left" w:pos="284"/>
          <w:tab w:val="left" w:pos="8647"/>
        </w:tabs>
        <w:jc w:val="both"/>
        <w:rPr>
          <w:rFonts w:ascii="Mute" w:hAnsi="Mute" w:cs="Times New Roman"/>
          <w:b w:val="0"/>
          <w:color w:val="003865"/>
          <w:sz w:val="22"/>
          <w:lang w:val="en-US"/>
        </w:rPr>
      </w:pPr>
      <w:r w:rsidRPr="00F03FB0">
        <w:rPr>
          <w:rFonts w:ascii="Mute" w:hAnsi="Mute" w:cs="Times New Roman"/>
          <w:b w:val="0"/>
          <w:color w:val="003865"/>
          <w:sz w:val="22"/>
          <w:lang w:val="en-US"/>
        </w:rPr>
        <w:t xml:space="preserve">All engagement activity is delegated to the investment managers. See the </w:t>
      </w:r>
      <w:r>
        <w:rPr>
          <w:rFonts w:ascii="Mute" w:hAnsi="Mute" w:cs="Times New Roman"/>
          <w:b w:val="0"/>
          <w:color w:val="003865"/>
          <w:sz w:val="22"/>
          <w:lang w:val="en-US"/>
        </w:rPr>
        <w:t xml:space="preserve">following section </w:t>
      </w:r>
      <w:r w:rsidR="00863A70">
        <w:rPr>
          <w:rFonts w:ascii="Mute" w:hAnsi="Mute" w:cs="Times New Roman"/>
          <w:b w:val="0"/>
          <w:color w:val="003865"/>
          <w:sz w:val="22"/>
          <w:lang w:val="en-US"/>
        </w:rPr>
        <w:t xml:space="preserve">below </w:t>
      </w:r>
      <w:r w:rsidRPr="00F03FB0">
        <w:rPr>
          <w:rFonts w:ascii="Mute" w:hAnsi="Mute" w:cs="Times New Roman"/>
          <w:b w:val="0"/>
          <w:color w:val="003865"/>
          <w:sz w:val="22"/>
          <w:lang w:val="en-US"/>
        </w:rPr>
        <w:t>for summary details.</w:t>
      </w:r>
    </w:p>
    <w:p w14:paraId="60EF3FF3" w14:textId="77777777" w:rsidR="00997548" w:rsidRPr="00997548" w:rsidRDefault="00997548" w:rsidP="00997548"/>
    <w:p w14:paraId="25F9340D" w14:textId="3CF2533C" w:rsidR="006A6A25" w:rsidRPr="000E2EF5" w:rsidRDefault="006A6A25" w:rsidP="000E2EF5">
      <w:pPr>
        <w:pStyle w:val="Heading2"/>
        <w:tabs>
          <w:tab w:val="num" w:pos="0"/>
          <w:tab w:val="left" w:pos="284"/>
          <w:tab w:val="left" w:pos="8647"/>
        </w:tabs>
        <w:jc w:val="both"/>
        <w:rPr>
          <w:rFonts w:ascii="Mute" w:hAnsi="Mute"/>
          <w:u w:val="single"/>
        </w:rPr>
      </w:pPr>
      <w:r w:rsidRPr="000E2EF5">
        <w:rPr>
          <w:rFonts w:ascii="Mute" w:hAnsi="Mute"/>
          <w:u w:val="single"/>
        </w:rPr>
        <w:lastRenderedPageBreak/>
        <w:t>Engagement</w:t>
      </w:r>
    </w:p>
    <w:p w14:paraId="5A42056D" w14:textId="780BC4FE" w:rsidR="00521082" w:rsidRDefault="00013D7D" w:rsidP="00017BD8">
      <w:pPr>
        <w:spacing w:after="0"/>
      </w:pPr>
      <w:r w:rsidRPr="00626944">
        <w:t xml:space="preserve">BlackRock </w:t>
      </w:r>
      <w:r w:rsidR="00CC5D16">
        <w:t>document their</w:t>
      </w:r>
      <w:r w:rsidR="00A10F1D">
        <w:t xml:space="preserve"> Engagement Priorities</w:t>
      </w:r>
      <w:r w:rsidRPr="00626944">
        <w:rPr>
          <w:rStyle w:val="FootnoteReference"/>
        </w:rPr>
        <w:footnoteReference w:id="1"/>
      </w:r>
      <w:r w:rsidRPr="00626944">
        <w:t xml:space="preserve"> </w:t>
      </w:r>
      <w:r w:rsidR="00CC5D16">
        <w:t>and have highlighted the following key areas for stewardship activities</w:t>
      </w:r>
      <w:r w:rsidRPr="00626944">
        <w:t>:</w:t>
      </w:r>
      <w:r w:rsidR="00521082">
        <w:t xml:space="preserve"> </w:t>
      </w:r>
    </w:p>
    <w:p w14:paraId="2BD57CA5" w14:textId="77777777" w:rsidR="00FF562A" w:rsidRPr="00086028" w:rsidRDefault="00FF562A" w:rsidP="00FF562A">
      <w:pPr>
        <w:pStyle w:val="ListParagraph"/>
        <w:rPr>
          <w:sz w:val="14"/>
        </w:rPr>
      </w:pPr>
    </w:p>
    <w:p w14:paraId="637D2691" w14:textId="4773176F" w:rsidR="00013D7D" w:rsidRPr="00626944" w:rsidRDefault="00013D7D" w:rsidP="00017BD8">
      <w:pPr>
        <w:pStyle w:val="ListParagraph"/>
        <w:numPr>
          <w:ilvl w:val="1"/>
          <w:numId w:val="6"/>
        </w:numPr>
        <w:spacing w:after="0" w:line="180" w:lineRule="auto"/>
        <w:ind w:left="360"/>
      </w:pPr>
      <w:r w:rsidRPr="0011668C">
        <w:rPr>
          <w:b/>
        </w:rPr>
        <w:t>Board quality/effectiveness:</w:t>
      </w:r>
      <w:r w:rsidRPr="00626944">
        <w:t xml:space="preserve"> One of BlackRock’s priorities is having a board of highly qualified, engaged directors with professional characteristics relevant to a company’s business who can add value and be the voice of shareholders in board discussions. </w:t>
      </w:r>
      <w:r w:rsidR="00EE4CBD">
        <w:rPr>
          <w:lang w:val="en-GB"/>
        </w:rPr>
        <w:t>A</w:t>
      </w:r>
      <w:r w:rsidR="00EE4CBD" w:rsidRPr="00EE4CBD">
        <w:rPr>
          <w:lang w:val="en-GB"/>
        </w:rPr>
        <w:t xml:space="preserve"> strong board gives a company a competitive advantage, offering valuable oversight and contributing to the most important management decisions that support long-term financial performance. </w:t>
      </w:r>
    </w:p>
    <w:p w14:paraId="533D76BF" w14:textId="77777777" w:rsidR="00013D7D" w:rsidRPr="00626944" w:rsidRDefault="00013D7D" w:rsidP="00017BD8">
      <w:pPr>
        <w:pStyle w:val="ListParagraph"/>
        <w:spacing w:after="0" w:line="180" w:lineRule="auto"/>
        <w:ind w:left="360"/>
      </w:pPr>
    </w:p>
    <w:p w14:paraId="780150B4" w14:textId="7305A544" w:rsidR="00013D7D" w:rsidRPr="00626944" w:rsidRDefault="00013D7D" w:rsidP="00017BD8">
      <w:pPr>
        <w:pStyle w:val="ListParagraph"/>
        <w:numPr>
          <w:ilvl w:val="1"/>
          <w:numId w:val="6"/>
        </w:numPr>
        <w:spacing w:after="0" w:line="180" w:lineRule="auto"/>
        <w:ind w:left="360"/>
      </w:pPr>
      <w:r w:rsidRPr="00F6522C">
        <w:rPr>
          <w:b/>
        </w:rPr>
        <w:t>Strategy/purpose</w:t>
      </w:r>
      <w:r w:rsidR="00BD452F">
        <w:rPr>
          <w:b/>
        </w:rPr>
        <w:t xml:space="preserve"> &amp; financial resilience</w:t>
      </w:r>
      <w:r w:rsidRPr="00626944">
        <w:t xml:space="preserve">: Long-term </w:t>
      </w:r>
      <w:r w:rsidR="00EE4CBD" w:rsidRPr="00EE4CBD">
        <w:rPr>
          <w:lang w:val="en-GB"/>
        </w:rPr>
        <w:t xml:space="preserve">corporate strategy, purpose, and financial resilience to understand how boards and management are aligning their business decision-making with the company’s purpose and adjusting strategy and/or capital allocation plans as necessary as business dynamics evolve. </w:t>
      </w:r>
      <w:r w:rsidR="00EE4CBD">
        <w:rPr>
          <w:lang w:val="en-GB"/>
        </w:rPr>
        <w:t>Blackrock</w:t>
      </w:r>
      <w:r w:rsidR="00EE4CBD" w:rsidRPr="00EE4CBD">
        <w:rPr>
          <w:lang w:val="en-GB"/>
        </w:rPr>
        <w:t xml:space="preserve"> also seek to understand how companies manage risks and opportunities within their operations to deliver long-term financial value for shareholders. </w:t>
      </w:r>
    </w:p>
    <w:p w14:paraId="658208FE" w14:textId="2B4A547E" w:rsidR="00013D7D" w:rsidRPr="00626944" w:rsidRDefault="00013D7D" w:rsidP="00017BD8">
      <w:pPr>
        <w:pStyle w:val="ListParagraph"/>
        <w:spacing w:after="0" w:line="180" w:lineRule="auto"/>
        <w:ind w:left="360"/>
      </w:pPr>
    </w:p>
    <w:p w14:paraId="489FDF00" w14:textId="4438C687" w:rsidR="00013D7D" w:rsidRPr="00626944" w:rsidRDefault="00BD452F" w:rsidP="00017BD8">
      <w:pPr>
        <w:pStyle w:val="ListParagraph"/>
        <w:numPr>
          <w:ilvl w:val="1"/>
          <w:numId w:val="6"/>
        </w:numPr>
        <w:spacing w:after="0" w:line="180" w:lineRule="auto"/>
        <w:ind w:left="360"/>
      </w:pPr>
      <w:r>
        <w:rPr>
          <w:b/>
        </w:rPr>
        <w:t>Incentives aligned with financial value creation</w:t>
      </w:r>
      <w:r w:rsidR="00013D7D" w:rsidRPr="00626944">
        <w:t xml:space="preserve">: </w:t>
      </w:r>
      <w:r w:rsidR="00F10FC5">
        <w:t>Ensuring executive compensation</w:t>
      </w:r>
      <w:r w:rsidR="00013D7D" w:rsidRPr="00626944">
        <w:t xml:space="preserve"> </w:t>
      </w:r>
      <w:proofErr w:type="spellStart"/>
      <w:r w:rsidR="00F10FC5">
        <w:t>incentivi</w:t>
      </w:r>
      <w:r w:rsidR="00017BD8">
        <w:t>s</w:t>
      </w:r>
      <w:r w:rsidR="00F10FC5">
        <w:t>es</w:t>
      </w:r>
      <w:proofErr w:type="spellEnd"/>
      <w:r w:rsidR="00F10FC5">
        <w:t xml:space="preserve"> and rewards the successful delivery of strategy goals. BlackRock looks for appropriate and transparent compensation policies, and policies which are in the financial interests of long-term stakeholders. </w:t>
      </w:r>
    </w:p>
    <w:p w14:paraId="383ADDF7" w14:textId="77777777" w:rsidR="00013D7D" w:rsidRPr="00626944" w:rsidRDefault="00013D7D" w:rsidP="00017BD8">
      <w:pPr>
        <w:pStyle w:val="ListParagraph"/>
        <w:spacing w:after="0" w:line="180" w:lineRule="auto"/>
        <w:ind w:left="360"/>
      </w:pPr>
    </w:p>
    <w:p w14:paraId="456213D6" w14:textId="78AB16A5" w:rsidR="00013D7D" w:rsidRPr="00626944" w:rsidRDefault="00BD452F" w:rsidP="00017BD8">
      <w:pPr>
        <w:pStyle w:val="ListParagraph"/>
        <w:numPr>
          <w:ilvl w:val="1"/>
          <w:numId w:val="6"/>
        </w:numPr>
        <w:spacing w:after="0" w:line="180" w:lineRule="auto"/>
        <w:ind w:left="360"/>
      </w:pPr>
      <w:r>
        <w:rPr>
          <w:b/>
        </w:rPr>
        <w:t>Climate/natural capital</w:t>
      </w:r>
      <w:r w:rsidR="00013D7D" w:rsidRPr="00626944">
        <w:t xml:space="preserve">: It is Blackrock’s view that climate-related risks and opportunities can be a key factor in many companies’ long-term prospects. </w:t>
      </w:r>
      <w:r w:rsidR="00EE4CBD">
        <w:t xml:space="preserve">According to Blackrock, </w:t>
      </w:r>
      <w:r w:rsidR="00EE4CBD" w:rsidRPr="00EE4CBD">
        <w:rPr>
          <w:lang w:val="en-GB"/>
        </w:rPr>
        <w:t>research shows that the low-carbon transition is a structural shift in the global economy that will be shaped by changes in government policies, technology, and consumer and investor preferences, which may be material for many companies</w:t>
      </w:r>
      <w:r w:rsidR="00EE4CBD">
        <w:rPr>
          <w:lang w:val="en-GB"/>
        </w:rPr>
        <w:t>, despite the path to a low-carbon economy being uncertain and uneven.</w:t>
      </w:r>
    </w:p>
    <w:p w14:paraId="5E9FE10A" w14:textId="77777777" w:rsidR="00013D7D" w:rsidRPr="00626944" w:rsidRDefault="00013D7D" w:rsidP="00017BD8">
      <w:pPr>
        <w:pStyle w:val="ListParagraph"/>
        <w:spacing w:after="0" w:line="180" w:lineRule="auto"/>
        <w:ind w:left="360"/>
      </w:pPr>
    </w:p>
    <w:p w14:paraId="368936D7" w14:textId="5690BEF6" w:rsidR="00013D7D" w:rsidRPr="00582C32" w:rsidRDefault="00013D7D" w:rsidP="00EE4CBD">
      <w:pPr>
        <w:pStyle w:val="ListParagraph"/>
        <w:numPr>
          <w:ilvl w:val="1"/>
          <w:numId w:val="6"/>
        </w:numPr>
        <w:spacing w:after="0" w:line="180" w:lineRule="auto"/>
        <w:ind w:left="360"/>
        <w:rPr>
          <w:lang w:val="en-GB"/>
        </w:rPr>
      </w:pPr>
      <w:r w:rsidRPr="00F6522C">
        <w:rPr>
          <w:b/>
        </w:rPr>
        <w:t>Company impacts on people</w:t>
      </w:r>
      <w:r w:rsidRPr="00626944">
        <w:t xml:space="preserve">: Companies are better positioned to deliver long-term shareholder value when they build strong relationships throughout their value chain, including with employees, business partners (such as suppliers and distributors), clients and consumers, regulators, and the communities in which companies operate. As a long-term shareholder on behalf of their clients, Blackrock continues to find </w:t>
      </w:r>
      <w:r w:rsidR="007104A2">
        <w:t xml:space="preserve">it </w:t>
      </w:r>
      <w:r w:rsidRPr="00626944">
        <w:t xml:space="preserve">helpful </w:t>
      </w:r>
      <w:r w:rsidR="00EE4CBD" w:rsidRPr="00EE4CBD">
        <w:rPr>
          <w:lang w:val="en-GB"/>
        </w:rPr>
        <w:t xml:space="preserve">when companies provide shareholders with the necessary information to understand their approach to human capital management </w:t>
      </w:r>
    </w:p>
    <w:p w14:paraId="22B5DD32" w14:textId="77777777" w:rsidR="00E201E9" w:rsidRDefault="00E201E9" w:rsidP="00017BD8">
      <w:pPr>
        <w:pStyle w:val="ListParagraph"/>
        <w:spacing w:after="0"/>
      </w:pPr>
    </w:p>
    <w:p w14:paraId="7E191133" w14:textId="214B43F3" w:rsidR="00E201E9" w:rsidRDefault="00C629FF" w:rsidP="00017BD8">
      <w:r>
        <w:t xml:space="preserve">Over the years, </w:t>
      </w:r>
      <w:r w:rsidR="00E201E9" w:rsidRPr="003455DB">
        <w:t>BlackRock has provided the Trustee with detailed summaries of the engagement activities across the different funds used by the Scheme. The Trustee is satisfied that BlackRock are engaging proactively with firms on topics that are relevant and consistent with the Trustee’s policies. This includes topics falling into each of the</w:t>
      </w:r>
      <w:r w:rsidR="00897CB1" w:rsidRPr="003455DB">
        <w:t xml:space="preserve"> key areas of</w:t>
      </w:r>
      <w:r w:rsidR="00E201E9" w:rsidRPr="003455DB">
        <w:t xml:space="preserve"> Environmental, Social and Governance themes, with </w:t>
      </w:r>
      <w:r w:rsidR="00897CB1" w:rsidRPr="003455DB">
        <w:t xml:space="preserve">themes </w:t>
      </w:r>
      <w:r w:rsidR="00E201E9" w:rsidRPr="003455DB">
        <w:t xml:space="preserve">including </w:t>
      </w:r>
      <w:r w:rsidR="003455DB">
        <w:t>Deforestation</w:t>
      </w:r>
      <w:r w:rsidR="00E201E9" w:rsidRPr="003455DB">
        <w:t xml:space="preserve">, Biodiversity, </w:t>
      </w:r>
      <w:r w:rsidR="008B648C">
        <w:t>Water &amp; Waste,</w:t>
      </w:r>
      <w:r w:rsidR="00E201E9" w:rsidRPr="003455DB">
        <w:t xml:space="preserve"> Remuneration and </w:t>
      </w:r>
      <w:r w:rsidR="008B648C">
        <w:t>Diversity &amp; Inclusion</w:t>
      </w:r>
      <w:r w:rsidR="00E201E9" w:rsidRPr="003455DB">
        <w:t>.</w:t>
      </w:r>
    </w:p>
    <w:p w14:paraId="45947134" w14:textId="58274F57" w:rsidR="00C1593A" w:rsidRPr="003455DB" w:rsidRDefault="00C1593A" w:rsidP="00017BD8">
      <w:r>
        <w:t xml:space="preserve">By year-end, the Scheme’s investments constituted gilts and cash only. It is therefore </w:t>
      </w:r>
      <w:proofErr w:type="spellStart"/>
      <w:r>
        <w:t>recognised</w:t>
      </w:r>
      <w:proofErr w:type="spellEnd"/>
      <w:r>
        <w:t xml:space="preserve"> that the scope for directly relevant engagement with companies is now limited for the Scheme.</w:t>
      </w:r>
    </w:p>
    <w:p w14:paraId="5F66AFE8" w14:textId="46986010" w:rsidR="00997548" w:rsidRDefault="00487962" w:rsidP="00997548">
      <w:r>
        <w:t>The</w:t>
      </w:r>
      <w:r w:rsidRPr="00487962">
        <w:t xml:space="preserve"> Lothbury Property Trust is now winding down and the Trustee is receiving proceeds on a periodic basis as the portfolio is redeemed. As the holdings in the fund diminish</w:t>
      </w:r>
      <w:r w:rsidR="00017BD8">
        <w:t xml:space="preserve"> and the fund moves closer to full wind-up</w:t>
      </w:r>
      <w:r w:rsidRPr="00487962">
        <w:t xml:space="preserve">, the focus on ESG risks </w:t>
      </w:r>
      <w:r>
        <w:t xml:space="preserve">has </w:t>
      </w:r>
      <w:r w:rsidRPr="00487962">
        <w:t>become less relevant.</w:t>
      </w:r>
    </w:p>
    <w:p w14:paraId="504089B0" w14:textId="5F4896D2" w:rsidR="00B66EE6" w:rsidRPr="00F6522C" w:rsidRDefault="00B66EE6" w:rsidP="00B66EE6">
      <w:pPr>
        <w:pStyle w:val="Heading2"/>
        <w:tabs>
          <w:tab w:val="num" w:pos="0"/>
          <w:tab w:val="left" w:pos="284"/>
          <w:tab w:val="left" w:pos="8647"/>
        </w:tabs>
        <w:jc w:val="both"/>
        <w:rPr>
          <w:u w:val="single"/>
        </w:rPr>
      </w:pPr>
      <w:r w:rsidRPr="00F6522C">
        <w:rPr>
          <w:rFonts w:ascii="Mute" w:hAnsi="Mute"/>
          <w:u w:val="single"/>
        </w:rPr>
        <w:t xml:space="preserve">Significant Vote Definition </w:t>
      </w:r>
    </w:p>
    <w:p w14:paraId="56EF07D7" w14:textId="4F5F5C82" w:rsidR="00B66EE6" w:rsidRPr="00626944" w:rsidRDefault="00B66EE6" w:rsidP="00B66EE6">
      <w:r w:rsidRPr="00626944">
        <w:t>Following the DWP's consultation response and outcome regarding Implementation Statements on 17 June 2022 (“Reporting on Stewardship and Other Topics through the Statement of Investment Principles and the Implementation Statement: Statutory and Non-Statutory Guidance”) one of the areas of interest was the significant vote definition. The most material change was that the Statutory Guidance provides an update on what constitutes a “significant vote”.</w:t>
      </w:r>
    </w:p>
    <w:p w14:paraId="2B0CBA51" w14:textId="7DAE267C" w:rsidR="00B66EE6" w:rsidRPr="00626944" w:rsidRDefault="00B66EE6" w:rsidP="00B66EE6">
      <w:r w:rsidRPr="00626944">
        <w:t xml:space="preserve">The Trustee defines a significant vote as one that is linked to the </w:t>
      </w:r>
      <w:r>
        <w:t>Scheme</w:t>
      </w:r>
      <w:r w:rsidRPr="00626944">
        <w:t>’s stewardship priorities/themes. A vote could also be significant for other reasons, e.g. due to the size of holding</w:t>
      </w:r>
      <w:r>
        <w:t xml:space="preserve">, </w:t>
      </w:r>
      <w:r w:rsidR="00897CB1">
        <w:t xml:space="preserve">and </w:t>
      </w:r>
      <w:r w:rsidR="00897CB1">
        <w:lastRenderedPageBreak/>
        <w:t>in some cases, where holdings are relatively small, this criteria may be used to filter down the large number of votes reported across the different funds used</w:t>
      </w:r>
      <w:r w:rsidRPr="00626944">
        <w:t xml:space="preserve">. The </w:t>
      </w:r>
      <w:r>
        <w:t>T</w:t>
      </w:r>
      <w:r w:rsidRPr="00626944">
        <w:t>rustee ha</w:t>
      </w:r>
      <w:r>
        <w:t>s</w:t>
      </w:r>
      <w:r w:rsidRPr="00626944">
        <w:t xml:space="preserve"> </w:t>
      </w:r>
      <w:r>
        <w:t>set out below their criteria for significant votes</w:t>
      </w:r>
      <w:r w:rsidR="00885FC7">
        <w:t xml:space="preserve">, reflecting the Trustee’s </w:t>
      </w:r>
      <w:r w:rsidR="00885FC7" w:rsidRPr="00885FC7">
        <w:t>stewardship priorities</w:t>
      </w:r>
      <w:r w:rsidR="00885FC7">
        <w:t>,</w:t>
      </w:r>
      <w:r>
        <w:t xml:space="preserve"> and are satisfied that these are also captured as high areas of focus in the BlackRock Stewardship Policy</w:t>
      </w:r>
      <w:r w:rsidRPr="00626944">
        <w:t>:</w:t>
      </w:r>
    </w:p>
    <w:p w14:paraId="22548EE4" w14:textId="1F592ADC" w:rsidR="00B66EE6" w:rsidRPr="00626944" w:rsidRDefault="00B66EE6" w:rsidP="00B66EE6">
      <w:pPr>
        <w:pStyle w:val="ListParagraph"/>
        <w:numPr>
          <w:ilvl w:val="0"/>
          <w:numId w:val="7"/>
        </w:numPr>
      </w:pPr>
      <w:r w:rsidRPr="00626944">
        <w:t>Environmental (</w:t>
      </w:r>
      <w:r w:rsidRPr="00C21FA0">
        <w:rPr>
          <w:b/>
          <w:bCs/>
        </w:rPr>
        <w:t>E</w:t>
      </w:r>
      <w:r w:rsidRPr="00626944">
        <w:t xml:space="preserve">) – Climate </w:t>
      </w:r>
      <w:r w:rsidR="001C3693">
        <w:t>C</w:t>
      </w:r>
      <w:r w:rsidRPr="00626944">
        <w:t>hange (e.g. vote on a company’s carbon disclosures)</w:t>
      </w:r>
    </w:p>
    <w:p w14:paraId="20FA9606" w14:textId="77777777" w:rsidR="00B66EE6" w:rsidRPr="00626944" w:rsidRDefault="00B66EE6" w:rsidP="00B66EE6">
      <w:pPr>
        <w:pStyle w:val="ListParagraph"/>
        <w:numPr>
          <w:ilvl w:val="0"/>
          <w:numId w:val="7"/>
        </w:numPr>
      </w:pPr>
      <w:r w:rsidRPr="00626944">
        <w:t>Social (</w:t>
      </w:r>
      <w:r w:rsidRPr="00C21FA0">
        <w:rPr>
          <w:b/>
          <w:bCs/>
        </w:rPr>
        <w:t>S</w:t>
      </w:r>
      <w:r w:rsidRPr="00626944">
        <w:t>) – Human rights (e.g. worker conditions, safety and pay)</w:t>
      </w:r>
    </w:p>
    <w:p w14:paraId="09AD1663" w14:textId="29D0EE09" w:rsidR="00B66EE6" w:rsidRPr="00B66EE6" w:rsidRDefault="00B66EE6" w:rsidP="00D06A28">
      <w:pPr>
        <w:pStyle w:val="ListParagraph"/>
        <w:numPr>
          <w:ilvl w:val="0"/>
          <w:numId w:val="7"/>
        </w:numPr>
        <w:rPr>
          <w:lang w:val="en-GB"/>
        </w:rPr>
      </w:pPr>
      <w:r w:rsidRPr="00626944">
        <w:t>Governance (</w:t>
      </w:r>
      <w:r w:rsidRPr="00C21FA0">
        <w:rPr>
          <w:b/>
          <w:bCs/>
        </w:rPr>
        <w:t>G</w:t>
      </w:r>
      <w:r w:rsidRPr="00626944">
        <w:t>) – Corporate Governance (e.g. Board quality, diversity, remuneration and inclusion)</w:t>
      </w:r>
    </w:p>
    <w:p w14:paraId="0198256E" w14:textId="35FB1CAD" w:rsidR="00B52905" w:rsidRPr="00873FA1" w:rsidRDefault="00C90E81" w:rsidP="00873FA1">
      <w:pPr>
        <w:pStyle w:val="Heading2"/>
        <w:tabs>
          <w:tab w:val="num" w:pos="0"/>
          <w:tab w:val="left" w:pos="284"/>
          <w:tab w:val="left" w:pos="8647"/>
        </w:tabs>
        <w:jc w:val="both"/>
        <w:rPr>
          <w:rFonts w:ascii="Mute" w:hAnsi="Mute"/>
          <w:u w:val="single"/>
        </w:rPr>
      </w:pPr>
      <w:r w:rsidRPr="00873FA1">
        <w:rPr>
          <w:rFonts w:ascii="Mute" w:hAnsi="Mute"/>
          <w:u w:val="single"/>
        </w:rPr>
        <w:t>V</w:t>
      </w:r>
      <w:r w:rsidR="00B52905" w:rsidRPr="00873FA1">
        <w:rPr>
          <w:rFonts w:ascii="Mute" w:hAnsi="Mute"/>
          <w:u w:val="single"/>
        </w:rPr>
        <w:t xml:space="preserve">oting Activity </w:t>
      </w:r>
    </w:p>
    <w:p w14:paraId="3FC83A1B" w14:textId="581C4ED8" w:rsidR="006C372C" w:rsidRPr="00017BD8" w:rsidRDefault="00D03317" w:rsidP="00897CB1">
      <w:pPr>
        <w:rPr>
          <w:rFonts w:eastAsiaTheme="minorHAnsi" w:cstheme="minorBidi"/>
          <w:color w:val="003365"/>
          <w:szCs w:val="22"/>
          <w:lang w:val="en-GB"/>
        </w:rPr>
      </w:pPr>
      <w:r w:rsidRPr="00017BD8">
        <w:rPr>
          <w:rFonts w:eastAsiaTheme="minorHAnsi" w:cstheme="minorBidi"/>
          <w:color w:val="003365"/>
          <w:szCs w:val="22"/>
          <w:lang w:val="en-GB"/>
        </w:rPr>
        <w:t xml:space="preserve">The Trustee delegated their voting rights to </w:t>
      </w:r>
      <w:r w:rsidR="0086650F" w:rsidRPr="00017BD8">
        <w:rPr>
          <w:rFonts w:eastAsiaTheme="minorHAnsi" w:cstheme="minorBidi"/>
          <w:color w:val="003365"/>
          <w:szCs w:val="22"/>
          <w:lang w:val="en-GB"/>
        </w:rPr>
        <w:t>BlackRock</w:t>
      </w:r>
      <w:r w:rsidRPr="00017BD8">
        <w:rPr>
          <w:rFonts w:eastAsiaTheme="minorHAnsi" w:cstheme="minorBidi"/>
          <w:color w:val="003365"/>
          <w:szCs w:val="22"/>
          <w:lang w:val="en-GB"/>
        </w:rPr>
        <w:t xml:space="preserve"> in their capacity as sole manager of the Scheme’s voting assets.</w:t>
      </w:r>
      <w:r w:rsidR="006C372C" w:rsidRPr="00017BD8">
        <w:rPr>
          <w:rFonts w:eastAsiaTheme="minorHAnsi" w:cstheme="minorBidi"/>
          <w:color w:val="003365"/>
          <w:szCs w:val="22"/>
          <w:lang w:val="en-GB"/>
        </w:rPr>
        <w:t xml:space="preserve"> </w:t>
      </w:r>
    </w:p>
    <w:p w14:paraId="0ABBCDC5" w14:textId="1D0756E3" w:rsidR="00897CB1" w:rsidRDefault="00897CB1" w:rsidP="00897CB1">
      <w:pPr>
        <w:rPr>
          <w:rFonts w:eastAsiaTheme="minorHAnsi" w:cstheme="minorBidi"/>
          <w:color w:val="003365"/>
          <w:szCs w:val="22"/>
          <w:lang w:val="en-GB"/>
        </w:rPr>
      </w:pPr>
      <w:r w:rsidRPr="00017BD8">
        <w:rPr>
          <w:rFonts w:eastAsiaTheme="minorHAnsi" w:cstheme="minorBidi"/>
          <w:color w:val="003365"/>
          <w:szCs w:val="22"/>
          <w:lang w:val="en-GB"/>
        </w:rPr>
        <w:t xml:space="preserve">BlackRock’s proxy voting process is led by the BlackRock Investment Stewardship team (BIS). Voting decisions are made by members of the </w:t>
      </w:r>
      <w:r w:rsidR="007104A2" w:rsidRPr="00017BD8">
        <w:rPr>
          <w:rFonts w:eastAsiaTheme="minorHAnsi" w:cstheme="minorBidi"/>
          <w:color w:val="003365"/>
          <w:szCs w:val="22"/>
          <w:lang w:val="en-GB"/>
        </w:rPr>
        <w:t>BIS</w:t>
      </w:r>
      <w:r w:rsidRPr="00017BD8">
        <w:rPr>
          <w:rFonts w:eastAsiaTheme="minorHAnsi" w:cstheme="minorBidi"/>
          <w:color w:val="003365"/>
          <w:szCs w:val="22"/>
          <w:lang w:val="en-GB"/>
        </w:rPr>
        <w:t xml:space="preserve"> team with input from investment colleagues as required, in each case, in accordance with BlackRock’s Global Principles and custom market-specific voting guidelines. </w:t>
      </w:r>
    </w:p>
    <w:p w14:paraId="7D20BFF4" w14:textId="32A13137" w:rsidR="00FF775B" w:rsidRPr="00017BD8" w:rsidRDefault="00FF775B" w:rsidP="00897CB1">
      <w:pPr>
        <w:rPr>
          <w:rFonts w:eastAsiaTheme="minorHAnsi" w:cstheme="minorBidi"/>
          <w:color w:val="003365"/>
          <w:szCs w:val="22"/>
          <w:lang w:val="en-GB"/>
        </w:rPr>
      </w:pPr>
      <w:r>
        <w:rPr>
          <w:rFonts w:eastAsiaTheme="minorHAnsi" w:cstheme="minorBidi"/>
          <w:color w:val="003365"/>
          <w:szCs w:val="22"/>
          <w:lang w:val="en-GB"/>
        </w:rPr>
        <w:t>Following</w:t>
      </w:r>
      <w:r w:rsidRPr="00017BD8">
        <w:rPr>
          <w:rFonts w:eastAsiaTheme="minorHAnsi" w:cstheme="minorBidi"/>
          <w:color w:val="003365"/>
          <w:szCs w:val="22"/>
          <w:lang w:val="en-GB"/>
        </w:rPr>
        <w:t xml:space="preserve"> a de-risking of the investment strategy by terminating the equity holdings in May 2024 and subsequently terminating the Dynamic Diversified Growth Fund in September 2024, the Scheme </w:t>
      </w:r>
      <w:r>
        <w:rPr>
          <w:rFonts w:eastAsiaTheme="minorHAnsi" w:cstheme="minorBidi"/>
          <w:color w:val="003365"/>
          <w:szCs w:val="22"/>
          <w:lang w:val="en-GB"/>
        </w:rPr>
        <w:t xml:space="preserve">currently </w:t>
      </w:r>
      <w:r w:rsidRPr="00017BD8">
        <w:rPr>
          <w:rFonts w:eastAsiaTheme="minorHAnsi" w:cstheme="minorBidi"/>
          <w:color w:val="003365"/>
          <w:szCs w:val="22"/>
          <w:lang w:val="en-GB"/>
        </w:rPr>
        <w:t>ha</w:t>
      </w:r>
      <w:r>
        <w:rPr>
          <w:rFonts w:eastAsiaTheme="minorHAnsi" w:cstheme="minorBidi"/>
          <w:color w:val="003365"/>
          <w:szCs w:val="22"/>
          <w:lang w:val="en-GB"/>
        </w:rPr>
        <w:t>s</w:t>
      </w:r>
      <w:r w:rsidRPr="00017BD8">
        <w:rPr>
          <w:rFonts w:eastAsiaTheme="minorHAnsi" w:cstheme="minorBidi"/>
          <w:color w:val="003365"/>
          <w:szCs w:val="22"/>
          <w:lang w:val="en-GB"/>
        </w:rPr>
        <w:t xml:space="preserve"> no exposure to assets with voting rights. </w:t>
      </w:r>
      <w:r>
        <w:rPr>
          <w:rFonts w:eastAsiaTheme="minorHAnsi" w:cstheme="minorBidi"/>
          <w:color w:val="003365"/>
          <w:szCs w:val="22"/>
          <w:lang w:val="en-GB"/>
        </w:rPr>
        <w:t>As such, voting is not applicable in respect of the underlying investments</w:t>
      </w:r>
      <w:r w:rsidR="00C629FF">
        <w:rPr>
          <w:rFonts w:eastAsiaTheme="minorHAnsi" w:cstheme="minorBidi"/>
          <w:color w:val="003365"/>
          <w:szCs w:val="22"/>
          <w:lang w:val="en-GB"/>
        </w:rPr>
        <w:t>.</w:t>
      </w:r>
    </w:p>
    <w:p w14:paraId="4AAF01B6" w14:textId="15B74365" w:rsidR="00DD5688" w:rsidRPr="00582C32" w:rsidRDefault="00DD5688" w:rsidP="00CF7CE9">
      <w:pPr>
        <w:spacing w:after="0"/>
        <w:rPr>
          <w:rFonts w:cs="Arial"/>
          <w:bCs/>
          <w:strike/>
          <w:color w:val="FF0000"/>
        </w:rPr>
      </w:pPr>
    </w:p>
    <w:sectPr w:rsidR="00DD5688" w:rsidRPr="00582C32" w:rsidSect="00997548">
      <w:pgSz w:w="11906" w:h="16838"/>
      <w:pgMar w:top="1361" w:right="1361" w:bottom="1361" w:left="130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40A960" w14:textId="77777777" w:rsidR="00DB5CAD" w:rsidRDefault="00DB5CAD" w:rsidP="00216146">
      <w:pPr>
        <w:spacing w:after="0"/>
      </w:pPr>
      <w:r>
        <w:separator/>
      </w:r>
    </w:p>
  </w:endnote>
  <w:endnote w:type="continuationSeparator" w:id="0">
    <w:p w14:paraId="384B5480" w14:textId="77777777" w:rsidR="00DB5CAD" w:rsidRDefault="00DB5CAD" w:rsidP="00216146">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ute">
    <w:altName w:val="Calibri"/>
    <w:panose1 w:val="00000000000000000000"/>
    <w:charset w:val="00"/>
    <w:family w:val="modern"/>
    <w:notTrueType/>
    <w:pitch w:val="variable"/>
    <w:sig w:usb0="00000007" w:usb1="00000000" w:usb2="00000000" w:usb3="00000000" w:csb0="00000003"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0BF869" w14:textId="77777777" w:rsidR="00DB5CAD" w:rsidRDefault="00DB5CAD" w:rsidP="00216146">
      <w:pPr>
        <w:spacing w:after="0"/>
      </w:pPr>
      <w:r>
        <w:separator/>
      </w:r>
    </w:p>
  </w:footnote>
  <w:footnote w:type="continuationSeparator" w:id="0">
    <w:p w14:paraId="596DD090" w14:textId="77777777" w:rsidR="00DB5CAD" w:rsidRDefault="00DB5CAD" w:rsidP="00216146">
      <w:pPr>
        <w:spacing w:after="0"/>
      </w:pPr>
      <w:r>
        <w:continuationSeparator/>
      </w:r>
    </w:p>
  </w:footnote>
  <w:footnote w:id="1">
    <w:p w14:paraId="7E07C58C" w14:textId="1ADBA996" w:rsidR="00013D7D" w:rsidRPr="00626944" w:rsidRDefault="00013D7D" w:rsidP="00013D7D">
      <w:pPr>
        <w:pStyle w:val="FootnoteText"/>
      </w:pPr>
      <w:r w:rsidRPr="00EE0A6E">
        <w:rPr>
          <w:rStyle w:val="FootnoteReference"/>
          <w:sz w:val="18"/>
          <w:szCs w:val="18"/>
        </w:rPr>
        <w:footnoteRef/>
      </w:r>
      <w:r w:rsidRPr="00EE0A6E">
        <w:rPr>
          <w:sz w:val="18"/>
          <w:szCs w:val="18"/>
        </w:rPr>
        <w:t xml:space="preserve">  </w:t>
      </w:r>
      <w:r w:rsidR="00C629FF" w:rsidRPr="00C629FF">
        <w:rPr>
          <w:sz w:val="18"/>
          <w:szCs w:val="18"/>
        </w:rPr>
        <w:t xml:space="preserve">https://www.blackrock.com/corporate/literature/publication/blk-stewardship-priorities-final.pdf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771C95"/>
    <w:multiLevelType w:val="hybridMultilevel"/>
    <w:tmpl w:val="7A4653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E584C0F"/>
    <w:multiLevelType w:val="multilevel"/>
    <w:tmpl w:val="788035E4"/>
    <w:name w:val="TableBulletList"/>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pStyle w:val="TableBullet1"/>
      <w:lvlText w:val="•"/>
      <w:lvlJc w:val="left"/>
      <w:pPr>
        <w:tabs>
          <w:tab w:val="num" w:pos="360"/>
        </w:tabs>
        <w:ind w:left="360" w:hanging="360"/>
      </w:pPr>
      <w:rPr>
        <w:rFonts w:ascii="Arial" w:hAnsi="Arial" w:cs="Arial"/>
        <w:b w:val="0"/>
        <w:i w:val="0"/>
        <w:caps w:val="0"/>
        <w:smallCaps w:val="0"/>
        <w:vanish w:val="0"/>
        <w:u w:val="none"/>
      </w:rPr>
    </w:lvl>
    <w:lvl w:ilvl="5">
      <w:start w:val="1"/>
      <w:numFmt w:val="lowerRoman"/>
      <w:pStyle w:val="TableBullet2"/>
      <w:lvlText w:val="─"/>
      <w:lvlJc w:val="left"/>
      <w:pPr>
        <w:tabs>
          <w:tab w:val="num" w:pos="720"/>
        </w:tabs>
        <w:ind w:left="720" w:hanging="360"/>
      </w:pPr>
      <w:rPr>
        <w:rFonts w:ascii="Arial" w:hAnsi="Arial" w:cs="Arial"/>
        <w:b w:val="0"/>
        <w:i w:val="0"/>
        <w:caps w:val="0"/>
        <w:smallCaps w:val="0"/>
        <w:vanish w:val="0"/>
        <w:u w:val="none"/>
      </w:rPr>
    </w:lvl>
    <w:lvl w:ilvl="6">
      <w:start w:val="1"/>
      <w:numFmt w:val="decimal"/>
      <w:pStyle w:val="TableBullet3"/>
      <w:lvlText w:val="−"/>
      <w:lvlJc w:val="left"/>
      <w:pPr>
        <w:tabs>
          <w:tab w:val="num" w:pos="1080"/>
        </w:tabs>
        <w:ind w:left="1080" w:hanging="360"/>
      </w:pPr>
      <w:rPr>
        <w:rFonts w:ascii="Arial" w:hAnsi="Arial" w:cs="Arial"/>
        <w:b w:val="0"/>
        <w:i w:val="0"/>
        <w:caps w:val="0"/>
        <w:smallCaps w:val="0"/>
        <w:vanish w:val="0"/>
        <w:u w:val="none"/>
      </w:rPr>
    </w:lvl>
    <w:lvl w:ilvl="7">
      <w:start w:val="1"/>
      <w:numFmt w:val="lowerLetter"/>
      <w:pStyle w:val="TableBullet4"/>
      <w:lvlText w:val="−"/>
      <w:lvlJc w:val="left"/>
      <w:pPr>
        <w:tabs>
          <w:tab w:val="num" w:pos="1440"/>
        </w:tabs>
        <w:ind w:left="1440" w:hanging="360"/>
      </w:pPr>
      <w:rPr>
        <w:rFonts w:ascii="Arial" w:hAnsi="Arial" w:cs="Arial"/>
        <w:b w:val="0"/>
        <w:i w:val="0"/>
        <w:caps w:val="0"/>
        <w:smallCaps w:val="0"/>
        <w:vanish w:val="0"/>
        <w:u w:val="none"/>
      </w:rPr>
    </w:lvl>
    <w:lvl w:ilvl="8">
      <w:start w:val="1"/>
      <w:numFmt w:val="lowerRoman"/>
      <w:lvlText w:val="%9."/>
      <w:lvlJc w:val="left"/>
      <w:pPr>
        <w:ind w:left="3240" w:hanging="360"/>
      </w:pPr>
    </w:lvl>
  </w:abstractNum>
  <w:abstractNum w:abstractNumId="2" w15:restartNumberingAfterBreak="0">
    <w:nsid w:val="27645BFA"/>
    <w:multiLevelType w:val="hybridMultilevel"/>
    <w:tmpl w:val="8ECCAF4E"/>
    <w:lvl w:ilvl="0" w:tplc="7ECCF0D4">
      <w:numFmt w:val="bullet"/>
      <w:lvlText w:val="-"/>
      <w:lvlJc w:val="left"/>
      <w:pPr>
        <w:ind w:left="720" w:hanging="360"/>
      </w:pPr>
      <w:rPr>
        <w:rFonts w:ascii="Mute" w:eastAsia="Times New Roman" w:hAnsi="Mute"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DB460F8"/>
    <w:multiLevelType w:val="multilevel"/>
    <w:tmpl w:val="D616BA38"/>
    <w:lvl w:ilvl="0">
      <w:start w:val="1"/>
      <w:numFmt w:val="decimal"/>
      <w:pStyle w:val="OutlineNum"/>
      <w:lvlText w:val="%1."/>
      <w:lvlJc w:val="left"/>
      <w:pPr>
        <w:tabs>
          <w:tab w:val="num" w:pos="720"/>
        </w:tabs>
        <w:ind w:left="720" w:hanging="720"/>
      </w:pPr>
      <w:rPr>
        <w:rFonts w:ascii="Arial" w:hAnsi="Arial" w:cs="Arial" w:hint="default"/>
        <w:b w:val="0"/>
        <w:i w:val="0"/>
        <w:sz w:val="22"/>
        <w:szCs w:val="22"/>
      </w:rPr>
    </w:lvl>
    <w:lvl w:ilvl="1">
      <w:start w:val="1"/>
      <w:numFmt w:val="decimal"/>
      <w:pStyle w:val="OutlineNum2"/>
      <w:lvlText w:val="%1.%2"/>
      <w:lvlJc w:val="left"/>
      <w:pPr>
        <w:tabs>
          <w:tab w:val="num" w:pos="720"/>
        </w:tabs>
        <w:ind w:left="720" w:hanging="720"/>
      </w:pPr>
      <w:rPr>
        <w:rFonts w:ascii="Arial" w:hAnsi="Arial" w:cs="Arial" w:hint="default"/>
        <w:b w:val="0"/>
        <w:i w:val="0"/>
        <w:sz w:val="22"/>
        <w:szCs w:val="22"/>
      </w:rPr>
    </w:lvl>
    <w:lvl w:ilvl="2">
      <w:start w:val="1"/>
      <w:numFmt w:val="decimal"/>
      <w:pStyle w:val="OutlineNum3"/>
      <w:lvlText w:val="%1.%2.%3"/>
      <w:lvlJc w:val="left"/>
      <w:pPr>
        <w:tabs>
          <w:tab w:val="num" w:pos="1440"/>
        </w:tabs>
        <w:ind w:left="1440" w:hanging="720"/>
      </w:pPr>
      <w:rPr>
        <w:rFonts w:ascii="Arial" w:hAnsi="Arial" w:cs="Arial" w:hint="default"/>
        <w:b w:val="0"/>
        <w:i w:val="0"/>
        <w:sz w:val="22"/>
      </w:rPr>
    </w:lvl>
    <w:lvl w:ilvl="3">
      <w:start w:val="1"/>
      <w:numFmt w:val="lowerLetter"/>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 w15:restartNumberingAfterBreak="0">
    <w:nsid w:val="623E35F1"/>
    <w:multiLevelType w:val="hybridMultilevel"/>
    <w:tmpl w:val="466C1D36"/>
    <w:lvl w:ilvl="0" w:tplc="0816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C4B4801"/>
    <w:multiLevelType w:val="hybridMultilevel"/>
    <w:tmpl w:val="8B76AD5A"/>
    <w:lvl w:ilvl="0" w:tplc="7ECCF0D4">
      <w:numFmt w:val="bullet"/>
      <w:lvlText w:val="-"/>
      <w:lvlJc w:val="left"/>
      <w:pPr>
        <w:ind w:left="720" w:hanging="360"/>
      </w:pPr>
      <w:rPr>
        <w:rFonts w:ascii="Mute" w:eastAsia="Times New Roman" w:hAnsi="Mute"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1121169"/>
    <w:multiLevelType w:val="hybridMultilevel"/>
    <w:tmpl w:val="29AC37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1A17547"/>
    <w:multiLevelType w:val="multilevel"/>
    <w:tmpl w:val="883603AE"/>
    <w:name w:val="BulletList"/>
    <w:lvl w:ilvl="0">
      <w:numFmt w:val="bullet"/>
      <w:lvlText w:val="-"/>
      <w:lvlJc w:val="left"/>
      <w:pPr>
        <w:ind w:left="360" w:hanging="360"/>
      </w:pPr>
      <w:rPr>
        <w:rFonts w:ascii="Calibri" w:eastAsiaTheme="minorHAnsi" w:hAnsi="Calibri" w:cs="Calibri" w:hint="default"/>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
      <w:lvlJc w:val="left"/>
      <w:pPr>
        <w:tabs>
          <w:tab w:val="num" w:pos="360"/>
        </w:tabs>
        <w:ind w:left="360" w:hanging="360"/>
      </w:pPr>
      <w:rPr>
        <w:rFonts w:ascii="Arial" w:hAnsi="Arial" w:cs="Arial"/>
        <w:b w:val="0"/>
        <w:i w:val="0"/>
        <w:caps w:val="0"/>
        <w:smallCaps w:val="0"/>
        <w:vanish w:val="0"/>
        <w:u w:val="none"/>
      </w:rPr>
    </w:lvl>
    <w:lvl w:ilvl="5">
      <w:start w:val="1"/>
      <w:numFmt w:val="lowerRoman"/>
      <w:lvlText w:val="─"/>
      <w:lvlJc w:val="left"/>
      <w:pPr>
        <w:tabs>
          <w:tab w:val="num" w:pos="720"/>
        </w:tabs>
        <w:ind w:left="720" w:hanging="360"/>
      </w:pPr>
      <w:rPr>
        <w:rFonts w:ascii="Arial" w:hAnsi="Arial" w:cs="Arial"/>
        <w:b w:val="0"/>
        <w:i w:val="0"/>
        <w:caps w:val="0"/>
        <w:smallCaps w:val="0"/>
        <w:vanish w:val="0"/>
        <w:u w:val="none"/>
      </w:rPr>
    </w:lvl>
    <w:lvl w:ilvl="6">
      <w:start w:val="1"/>
      <w:numFmt w:val="decimal"/>
      <w:pStyle w:val="ListBullet3"/>
      <w:lvlText w:val="−"/>
      <w:lvlJc w:val="left"/>
      <w:pPr>
        <w:tabs>
          <w:tab w:val="num" w:pos="1080"/>
        </w:tabs>
        <w:ind w:left="1080" w:hanging="360"/>
      </w:pPr>
      <w:rPr>
        <w:rFonts w:ascii="Arial" w:hAnsi="Arial" w:cs="Arial"/>
        <w:b w:val="0"/>
        <w:i w:val="0"/>
        <w:caps w:val="0"/>
        <w:smallCaps w:val="0"/>
        <w:vanish w:val="0"/>
        <w:u w:val="none"/>
      </w:rPr>
    </w:lvl>
    <w:lvl w:ilvl="7">
      <w:start w:val="1"/>
      <w:numFmt w:val="lowerLetter"/>
      <w:pStyle w:val="ListBullet4"/>
      <w:lvlText w:val="−"/>
      <w:lvlJc w:val="left"/>
      <w:pPr>
        <w:tabs>
          <w:tab w:val="num" w:pos="1440"/>
        </w:tabs>
        <w:ind w:left="1440" w:hanging="360"/>
      </w:pPr>
      <w:rPr>
        <w:rFonts w:ascii="Arial" w:hAnsi="Arial" w:cs="Arial"/>
        <w:b w:val="0"/>
        <w:i w:val="0"/>
        <w:caps w:val="0"/>
        <w:smallCaps w:val="0"/>
        <w:vanish w:val="0"/>
        <w:u w:val="none"/>
      </w:rPr>
    </w:lvl>
    <w:lvl w:ilvl="8">
      <w:start w:val="1"/>
      <w:numFmt w:val="lowerRoman"/>
      <w:lvlText w:val="%9."/>
      <w:lvlJc w:val="left"/>
      <w:pPr>
        <w:ind w:left="3240" w:hanging="360"/>
      </w:pPr>
    </w:lvl>
  </w:abstractNum>
  <w:num w:numId="1" w16cid:durableId="1257901216">
    <w:abstractNumId w:val="7"/>
  </w:num>
  <w:num w:numId="2" w16cid:durableId="432558809">
    <w:abstractNumId w:val="3"/>
  </w:num>
  <w:num w:numId="3" w16cid:durableId="771583427">
    <w:abstractNumId w:val="0"/>
  </w:num>
  <w:num w:numId="4" w16cid:durableId="27996835">
    <w:abstractNumId w:val="1"/>
  </w:num>
  <w:num w:numId="5" w16cid:durableId="83846568">
    <w:abstractNumId w:val="5"/>
  </w:num>
  <w:num w:numId="6" w16cid:durableId="1222516218">
    <w:abstractNumId w:val="4"/>
  </w:num>
  <w:num w:numId="7" w16cid:durableId="1682776465">
    <w:abstractNumId w:val="6"/>
  </w:num>
  <w:num w:numId="8" w16cid:durableId="1378696472">
    <w:abstractNumId w:val="2"/>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2905"/>
    <w:rsid w:val="000004B3"/>
    <w:rsid w:val="000011C8"/>
    <w:rsid w:val="00004791"/>
    <w:rsid w:val="00005D94"/>
    <w:rsid w:val="00010BD7"/>
    <w:rsid w:val="0001246C"/>
    <w:rsid w:val="00013C91"/>
    <w:rsid w:val="00013D7D"/>
    <w:rsid w:val="00017BD8"/>
    <w:rsid w:val="00021EDE"/>
    <w:rsid w:val="00023558"/>
    <w:rsid w:val="00032F81"/>
    <w:rsid w:val="00034A67"/>
    <w:rsid w:val="000428F0"/>
    <w:rsid w:val="00042BD5"/>
    <w:rsid w:val="00046ED6"/>
    <w:rsid w:val="00053830"/>
    <w:rsid w:val="00061F70"/>
    <w:rsid w:val="00063214"/>
    <w:rsid w:val="00074D85"/>
    <w:rsid w:val="00086028"/>
    <w:rsid w:val="000966AD"/>
    <w:rsid w:val="000B24E1"/>
    <w:rsid w:val="000B4156"/>
    <w:rsid w:val="000C5DF7"/>
    <w:rsid w:val="000D0480"/>
    <w:rsid w:val="000D7CDA"/>
    <w:rsid w:val="000E0065"/>
    <w:rsid w:val="000E1D1C"/>
    <w:rsid w:val="000E2EF5"/>
    <w:rsid w:val="000E6EBF"/>
    <w:rsid w:val="000F1E6C"/>
    <w:rsid w:val="000F44BE"/>
    <w:rsid w:val="000F4F62"/>
    <w:rsid w:val="000F5BDC"/>
    <w:rsid w:val="000F7539"/>
    <w:rsid w:val="00115EA1"/>
    <w:rsid w:val="00117C31"/>
    <w:rsid w:val="0013062F"/>
    <w:rsid w:val="0013093B"/>
    <w:rsid w:val="00131FBB"/>
    <w:rsid w:val="0013653F"/>
    <w:rsid w:val="001431E0"/>
    <w:rsid w:val="00146CC6"/>
    <w:rsid w:val="00151A99"/>
    <w:rsid w:val="00157568"/>
    <w:rsid w:val="00162408"/>
    <w:rsid w:val="00163F73"/>
    <w:rsid w:val="00171713"/>
    <w:rsid w:val="001725CA"/>
    <w:rsid w:val="00176322"/>
    <w:rsid w:val="0018097C"/>
    <w:rsid w:val="00183F88"/>
    <w:rsid w:val="001914BE"/>
    <w:rsid w:val="00193532"/>
    <w:rsid w:val="001A12FB"/>
    <w:rsid w:val="001B103F"/>
    <w:rsid w:val="001B4FE7"/>
    <w:rsid w:val="001C0DD9"/>
    <w:rsid w:val="001C3693"/>
    <w:rsid w:val="001E0DB3"/>
    <w:rsid w:val="001E1651"/>
    <w:rsid w:val="001F3F7C"/>
    <w:rsid w:val="001F7790"/>
    <w:rsid w:val="00204006"/>
    <w:rsid w:val="002058A9"/>
    <w:rsid w:val="0021413E"/>
    <w:rsid w:val="00215438"/>
    <w:rsid w:val="00216146"/>
    <w:rsid w:val="00231350"/>
    <w:rsid w:val="002339CF"/>
    <w:rsid w:val="00233C3F"/>
    <w:rsid w:val="00240B8C"/>
    <w:rsid w:val="00244D5D"/>
    <w:rsid w:val="00252FDF"/>
    <w:rsid w:val="002602E1"/>
    <w:rsid w:val="00263C46"/>
    <w:rsid w:val="00264EB2"/>
    <w:rsid w:val="00266D53"/>
    <w:rsid w:val="00270EC3"/>
    <w:rsid w:val="00270EEC"/>
    <w:rsid w:val="00273E4D"/>
    <w:rsid w:val="00283B63"/>
    <w:rsid w:val="00284BAD"/>
    <w:rsid w:val="002912F3"/>
    <w:rsid w:val="002A33A8"/>
    <w:rsid w:val="002A7AE2"/>
    <w:rsid w:val="002A7D61"/>
    <w:rsid w:val="002B375A"/>
    <w:rsid w:val="002C11CE"/>
    <w:rsid w:val="002C12EB"/>
    <w:rsid w:val="002C20F7"/>
    <w:rsid w:val="002C5E87"/>
    <w:rsid w:val="002C6796"/>
    <w:rsid w:val="002E51E1"/>
    <w:rsid w:val="002E57BC"/>
    <w:rsid w:val="002F1DD1"/>
    <w:rsid w:val="002F7608"/>
    <w:rsid w:val="00302C78"/>
    <w:rsid w:val="003115D0"/>
    <w:rsid w:val="00312B23"/>
    <w:rsid w:val="0031482B"/>
    <w:rsid w:val="003205AF"/>
    <w:rsid w:val="0033170B"/>
    <w:rsid w:val="00331BF5"/>
    <w:rsid w:val="00344174"/>
    <w:rsid w:val="00344F08"/>
    <w:rsid w:val="003455DB"/>
    <w:rsid w:val="00355D06"/>
    <w:rsid w:val="003660BA"/>
    <w:rsid w:val="003661E5"/>
    <w:rsid w:val="003677AE"/>
    <w:rsid w:val="00375B80"/>
    <w:rsid w:val="003836C7"/>
    <w:rsid w:val="003849CE"/>
    <w:rsid w:val="003852CB"/>
    <w:rsid w:val="00390BFD"/>
    <w:rsid w:val="003A2A20"/>
    <w:rsid w:val="003A7BFD"/>
    <w:rsid w:val="003B048A"/>
    <w:rsid w:val="003B2480"/>
    <w:rsid w:val="003B2485"/>
    <w:rsid w:val="003C04EA"/>
    <w:rsid w:val="003C1FEE"/>
    <w:rsid w:val="003C2029"/>
    <w:rsid w:val="003C4C3F"/>
    <w:rsid w:val="003E2636"/>
    <w:rsid w:val="003E274F"/>
    <w:rsid w:val="003E34C8"/>
    <w:rsid w:val="003F3430"/>
    <w:rsid w:val="003F3F97"/>
    <w:rsid w:val="004032F0"/>
    <w:rsid w:val="00404176"/>
    <w:rsid w:val="00404CE4"/>
    <w:rsid w:val="00405A89"/>
    <w:rsid w:val="004065BD"/>
    <w:rsid w:val="004131A2"/>
    <w:rsid w:val="0041423E"/>
    <w:rsid w:val="00414CFA"/>
    <w:rsid w:val="00416A33"/>
    <w:rsid w:val="00416EDA"/>
    <w:rsid w:val="00425002"/>
    <w:rsid w:val="00447D14"/>
    <w:rsid w:val="00464A52"/>
    <w:rsid w:val="004654B4"/>
    <w:rsid w:val="00467045"/>
    <w:rsid w:val="0046772A"/>
    <w:rsid w:val="00476F94"/>
    <w:rsid w:val="00477F6E"/>
    <w:rsid w:val="00480706"/>
    <w:rsid w:val="00484727"/>
    <w:rsid w:val="004863B4"/>
    <w:rsid w:val="004871E6"/>
    <w:rsid w:val="00487962"/>
    <w:rsid w:val="004921A5"/>
    <w:rsid w:val="004C7C60"/>
    <w:rsid w:val="004D0FC1"/>
    <w:rsid w:val="004D3C25"/>
    <w:rsid w:val="004D56C8"/>
    <w:rsid w:val="004E00FE"/>
    <w:rsid w:val="004E1F47"/>
    <w:rsid w:val="004E5242"/>
    <w:rsid w:val="004E5523"/>
    <w:rsid w:val="004F7CAE"/>
    <w:rsid w:val="00504DB5"/>
    <w:rsid w:val="0051470F"/>
    <w:rsid w:val="005173D0"/>
    <w:rsid w:val="00521082"/>
    <w:rsid w:val="005276F6"/>
    <w:rsid w:val="005339D1"/>
    <w:rsid w:val="005377F9"/>
    <w:rsid w:val="00545677"/>
    <w:rsid w:val="00554D72"/>
    <w:rsid w:val="00557CAF"/>
    <w:rsid w:val="00561681"/>
    <w:rsid w:val="00562CB5"/>
    <w:rsid w:val="00562DC3"/>
    <w:rsid w:val="00563CC2"/>
    <w:rsid w:val="00565E49"/>
    <w:rsid w:val="005814E8"/>
    <w:rsid w:val="00582699"/>
    <w:rsid w:val="00582C32"/>
    <w:rsid w:val="0058416F"/>
    <w:rsid w:val="00592149"/>
    <w:rsid w:val="00594930"/>
    <w:rsid w:val="005973FD"/>
    <w:rsid w:val="005A1E35"/>
    <w:rsid w:val="005A744D"/>
    <w:rsid w:val="005B309C"/>
    <w:rsid w:val="005B59EF"/>
    <w:rsid w:val="005D016F"/>
    <w:rsid w:val="005D0BF6"/>
    <w:rsid w:val="005E6341"/>
    <w:rsid w:val="0060009D"/>
    <w:rsid w:val="00601864"/>
    <w:rsid w:val="006021F5"/>
    <w:rsid w:val="0060612F"/>
    <w:rsid w:val="00606274"/>
    <w:rsid w:val="006107CC"/>
    <w:rsid w:val="00620B5D"/>
    <w:rsid w:val="0062196D"/>
    <w:rsid w:val="00622108"/>
    <w:rsid w:val="00636701"/>
    <w:rsid w:val="00640A60"/>
    <w:rsid w:val="0064469E"/>
    <w:rsid w:val="00647C63"/>
    <w:rsid w:val="0065415E"/>
    <w:rsid w:val="00654E21"/>
    <w:rsid w:val="00655DE9"/>
    <w:rsid w:val="006575D3"/>
    <w:rsid w:val="006659EA"/>
    <w:rsid w:val="0067184B"/>
    <w:rsid w:val="00682148"/>
    <w:rsid w:val="00685376"/>
    <w:rsid w:val="006904F4"/>
    <w:rsid w:val="00696A46"/>
    <w:rsid w:val="006A6A25"/>
    <w:rsid w:val="006A7E1D"/>
    <w:rsid w:val="006B5561"/>
    <w:rsid w:val="006B69C7"/>
    <w:rsid w:val="006C372C"/>
    <w:rsid w:val="006C3996"/>
    <w:rsid w:val="006C476E"/>
    <w:rsid w:val="006C725A"/>
    <w:rsid w:val="006E4F19"/>
    <w:rsid w:val="006E57D6"/>
    <w:rsid w:val="006E5A81"/>
    <w:rsid w:val="006F283C"/>
    <w:rsid w:val="006F2F2A"/>
    <w:rsid w:val="006F3A7E"/>
    <w:rsid w:val="006F3D47"/>
    <w:rsid w:val="006F4EEE"/>
    <w:rsid w:val="007021F0"/>
    <w:rsid w:val="00704756"/>
    <w:rsid w:val="007104A2"/>
    <w:rsid w:val="00712DFA"/>
    <w:rsid w:val="007132A7"/>
    <w:rsid w:val="007230F1"/>
    <w:rsid w:val="007246D2"/>
    <w:rsid w:val="0072579F"/>
    <w:rsid w:val="00731B3B"/>
    <w:rsid w:val="00740DF7"/>
    <w:rsid w:val="007462EB"/>
    <w:rsid w:val="00753D14"/>
    <w:rsid w:val="007553F9"/>
    <w:rsid w:val="00763F88"/>
    <w:rsid w:val="0077203A"/>
    <w:rsid w:val="00777F47"/>
    <w:rsid w:val="00785A3F"/>
    <w:rsid w:val="007861B2"/>
    <w:rsid w:val="00791590"/>
    <w:rsid w:val="007A43A2"/>
    <w:rsid w:val="007B2D82"/>
    <w:rsid w:val="007B7FA7"/>
    <w:rsid w:val="007C01C3"/>
    <w:rsid w:val="007C18BC"/>
    <w:rsid w:val="007C2C61"/>
    <w:rsid w:val="007D2CE7"/>
    <w:rsid w:val="007E31C9"/>
    <w:rsid w:val="007E505E"/>
    <w:rsid w:val="007F02AA"/>
    <w:rsid w:val="008001DD"/>
    <w:rsid w:val="00815A90"/>
    <w:rsid w:val="008164CF"/>
    <w:rsid w:val="00821EE0"/>
    <w:rsid w:val="0082273B"/>
    <w:rsid w:val="00824D2C"/>
    <w:rsid w:val="008260E0"/>
    <w:rsid w:val="0083350A"/>
    <w:rsid w:val="00835D7F"/>
    <w:rsid w:val="008526C0"/>
    <w:rsid w:val="00856E6B"/>
    <w:rsid w:val="00863A70"/>
    <w:rsid w:val="0086650F"/>
    <w:rsid w:val="00871D9E"/>
    <w:rsid w:val="008731A9"/>
    <w:rsid w:val="00873FA1"/>
    <w:rsid w:val="00885FC7"/>
    <w:rsid w:val="00891CB3"/>
    <w:rsid w:val="0089373F"/>
    <w:rsid w:val="00897CB1"/>
    <w:rsid w:val="008A38A6"/>
    <w:rsid w:val="008B2AAE"/>
    <w:rsid w:val="008B47E7"/>
    <w:rsid w:val="008B4B6A"/>
    <w:rsid w:val="008B5D57"/>
    <w:rsid w:val="008B648C"/>
    <w:rsid w:val="008B7B96"/>
    <w:rsid w:val="008C036E"/>
    <w:rsid w:val="008C609A"/>
    <w:rsid w:val="008D6E5F"/>
    <w:rsid w:val="008F761A"/>
    <w:rsid w:val="008F7B5E"/>
    <w:rsid w:val="009035AC"/>
    <w:rsid w:val="00916CE6"/>
    <w:rsid w:val="00934948"/>
    <w:rsid w:val="009355FE"/>
    <w:rsid w:val="009401A8"/>
    <w:rsid w:val="00940491"/>
    <w:rsid w:val="00942CB4"/>
    <w:rsid w:val="00944721"/>
    <w:rsid w:val="00945582"/>
    <w:rsid w:val="00946CEE"/>
    <w:rsid w:val="00950F47"/>
    <w:rsid w:val="00951FBB"/>
    <w:rsid w:val="00954DA9"/>
    <w:rsid w:val="009600C2"/>
    <w:rsid w:val="00962DEF"/>
    <w:rsid w:val="00966316"/>
    <w:rsid w:val="0096702F"/>
    <w:rsid w:val="00971E12"/>
    <w:rsid w:val="00971FC1"/>
    <w:rsid w:val="00976185"/>
    <w:rsid w:val="0097791C"/>
    <w:rsid w:val="00986D54"/>
    <w:rsid w:val="009873A4"/>
    <w:rsid w:val="00987ACD"/>
    <w:rsid w:val="009941F0"/>
    <w:rsid w:val="00997548"/>
    <w:rsid w:val="00997965"/>
    <w:rsid w:val="009A1534"/>
    <w:rsid w:val="009B5165"/>
    <w:rsid w:val="009B523F"/>
    <w:rsid w:val="009B76EA"/>
    <w:rsid w:val="009C09DB"/>
    <w:rsid w:val="009C6E63"/>
    <w:rsid w:val="009D33FC"/>
    <w:rsid w:val="009E1A65"/>
    <w:rsid w:val="009E1C66"/>
    <w:rsid w:val="009E230A"/>
    <w:rsid w:val="009F36A3"/>
    <w:rsid w:val="009F7D0E"/>
    <w:rsid w:val="00A0575E"/>
    <w:rsid w:val="00A0739E"/>
    <w:rsid w:val="00A10F1D"/>
    <w:rsid w:val="00A1543C"/>
    <w:rsid w:val="00A314F2"/>
    <w:rsid w:val="00A34F92"/>
    <w:rsid w:val="00A366B0"/>
    <w:rsid w:val="00A41B36"/>
    <w:rsid w:val="00A421DB"/>
    <w:rsid w:val="00A446EA"/>
    <w:rsid w:val="00A44E16"/>
    <w:rsid w:val="00A648E7"/>
    <w:rsid w:val="00A6545D"/>
    <w:rsid w:val="00A74B88"/>
    <w:rsid w:val="00A8716F"/>
    <w:rsid w:val="00A90661"/>
    <w:rsid w:val="00A91486"/>
    <w:rsid w:val="00A92401"/>
    <w:rsid w:val="00A9485C"/>
    <w:rsid w:val="00A9740B"/>
    <w:rsid w:val="00AB0622"/>
    <w:rsid w:val="00AB23E5"/>
    <w:rsid w:val="00AB4570"/>
    <w:rsid w:val="00AB50C0"/>
    <w:rsid w:val="00AC0CA6"/>
    <w:rsid w:val="00AC2C81"/>
    <w:rsid w:val="00AD7283"/>
    <w:rsid w:val="00AE0A7F"/>
    <w:rsid w:val="00AE3A49"/>
    <w:rsid w:val="00AF49D7"/>
    <w:rsid w:val="00B0186A"/>
    <w:rsid w:val="00B01D2B"/>
    <w:rsid w:val="00B01F2D"/>
    <w:rsid w:val="00B02D8D"/>
    <w:rsid w:val="00B0315C"/>
    <w:rsid w:val="00B043E9"/>
    <w:rsid w:val="00B171C6"/>
    <w:rsid w:val="00B22DD5"/>
    <w:rsid w:val="00B34516"/>
    <w:rsid w:val="00B412A4"/>
    <w:rsid w:val="00B44FA0"/>
    <w:rsid w:val="00B510FF"/>
    <w:rsid w:val="00B52905"/>
    <w:rsid w:val="00B5521F"/>
    <w:rsid w:val="00B64E18"/>
    <w:rsid w:val="00B66EE6"/>
    <w:rsid w:val="00B67782"/>
    <w:rsid w:val="00B74F30"/>
    <w:rsid w:val="00B77B13"/>
    <w:rsid w:val="00B82140"/>
    <w:rsid w:val="00B96BE3"/>
    <w:rsid w:val="00B96F32"/>
    <w:rsid w:val="00B9757C"/>
    <w:rsid w:val="00B97B90"/>
    <w:rsid w:val="00BA3ECE"/>
    <w:rsid w:val="00BA438C"/>
    <w:rsid w:val="00BA47DA"/>
    <w:rsid w:val="00BB22CB"/>
    <w:rsid w:val="00BB30CE"/>
    <w:rsid w:val="00BB4979"/>
    <w:rsid w:val="00BC0558"/>
    <w:rsid w:val="00BC0E85"/>
    <w:rsid w:val="00BC49D2"/>
    <w:rsid w:val="00BC4D72"/>
    <w:rsid w:val="00BC67C8"/>
    <w:rsid w:val="00BD452F"/>
    <w:rsid w:val="00BD4E52"/>
    <w:rsid w:val="00BE73E9"/>
    <w:rsid w:val="00C00A09"/>
    <w:rsid w:val="00C033C5"/>
    <w:rsid w:val="00C05BED"/>
    <w:rsid w:val="00C065CF"/>
    <w:rsid w:val="00C1072C"/>
    <w:rsid w:val="00C1593A"/>
    <w:rsid w:val="00C21FA0"/>
    <w:rsid w:val="00C23533"/>
    <w:rsid w:val="00C243E1"/>
    <w:rsid w:val="00C249A4"/>
    <w:rsid w:val="00C309E5"/>
    <w:rsid w:val="00C30F04"/>
    <w:rsid w:val="00C31245"/>
    <w:rsid w:val="00C34296"/>
    <w:rsid w:val="00C476E0"/>
    <w:rsid w:val="00C57C20"/>
    <w:rsid w:val="00C629FF"/>
    <w:rsid w:val="00C63D2A"/>
    <w:rsid w:val="00C64DAE"/>
    <w:rsid w:val="00C65832"/>
    <w:rsid w:val="00C659CF"/>
    <w:rsid w:val="00C67F69"/>
    <w:rsid w:val="00C72BA2"/>
    <w:rsid w:val="00C74BCF"/>
    <w:rsid w:val="00C847A1"/>
    <w:rsid w:val="00C90E81"/>
    <w:rsid w:val="00C92538"/>
    <w:rsid w:val="00CA4D49"/>
    <w:rsid w:val="00CA51E2"/>
    <w:rsid w:val="00CB5889"/>
    <w:rsid w:val="00CC1DAB"/>
    <w:rsid w:val="00CC5D16"/>
    <w:rsid w:val="00CC61AC"/>
    <w:rsid w:val="00CC6DA4"/>
    <w:rsid w:val="00CD4C70"/>
    <w:rsid w:val="00CE4836"/>
    <w:rsid w:val="00CE734F"/>
    <w:rsid w:val="00CF418B"/>
    <w:rsid w:val="00CF7CE9"/>
    <w:rsid w:val="00D02565"/>
    <w:rsid w:val="00D03317"/>
    <w:rsid w:val="00D05C0A"/>
    <w:rsid w:val="00D06A28"/>
    <w:rsid w:val="00D13417"/>
    <w:rsid w:val="00D166F1"/>
    <w:rsid w:val="00D16A4F"/>
    <w:rsid w:val="00D21A50"/>
    <w:rsid w:val="00D221A4"/>
    <w:rsid w:val="00D349F7"/>
    <w:rsid w:val="00D60369"/>
    <w:rsid w:val="00D66D02"/>
    <w:rsid w:val="00D717C6"/>
    <w:rsid w:val="00D74E35"/>
    <w:rsid w:val="00D8101E"/>
    <w:rsid w:val="00D832AC"/>
    <w:rsid w:val="00D968FD"/>
    <w:rsid w:val="00DA0015"/>
    <w:rsid w:val="00DB3D93"/>
    <w:rsid w:val="00DB5CAD"/>
    <w:rsid w:val="00DB652D"/>
    <w:rsid w:val="00DC5A69"/>
    <w:rsid w:val="00DD1856"/>
    <w:rsid w:val="00DD431B"/>
    <w:rsid w:val="00DD5688"/>
    <w:rsid w:val="00DD65E6"/>
    <w:rsid w:val="00DD71EB"/>
    <w:rsid w:val="00DE5C7C"/>
    <w:rsid w:val="00DF0172"/>
    <w:rsid w:val="00E0039E"/>
    <w:rsid w:val="00E02397"/>
    <w:rsid w:val="00E067EE"/>
    <w:rsid w:val="00E07035"/>
    <w:rsid w:val="00E07760"/>
    <w:rsid w:val="00E14882"/>
    <w:rsid w:val="00E201E9"/>
    <w:rsid w:val="00E22804"/>
    <w:rsid w:val="00E33A9E"/>
    <w:rsid w:val="00E421CD"/>
    <w:rsid w:val="00E42C8F"/>
    <w:rsid w:val="00E44AC9"/>
    <w:rsid w:val="00E45AAB"/>
    <w:rsid w:val="00E473C0"/>
    <w:rsid w:val="00E6590E"/>
    <w:rsid w:val="00E671D8"/>
    <w:rsid w:val="00E82610"/>
    <w:rsid w:val="00E829B1"/>
    <w:rsid w:val="00E84B14"/>
    <w:rsid w:val="00EA288B"/>
    <w:rsid w:val="00EA2E96"/>
    <w:rsid w:val="00EA505D"/>
    <w:rsid w:val="00EA6790"/>
    <w:rsid w:val="00EB63DA"/>
    <w:rsid w:val="00EB7BAE"/>
    <w:rsid w:val="00EC2B8D"/>
    <w:rsid w:val="00ED607E"/>
    <w:rsid w:val="00EE0A6E"/>
    <w:rsid w:val="00EE4CBD"/>
    <w:rsid w:val="00EE7D7C"/>
    <w:rsid w:val="00EF530A"/>
    <w:rsid w:val="00F03FB0"/>
    <w:rsid w:val="00F10FC5"/>
    <w:rsid w:val="00F26594"/>
    <w:rsid w:val="00F33044"/>
    <w:rsid w:val="00F358A8"/>
    <w:rsid w:val="00F41C65"/>
    <w:rsid w:val="00F42C61"/>
    <w:rsid w:val="00F448DD"/>
    <w:rsid w:val="00F45156"/>
    <w:rsid w:val="00F51093"/>
    <w:rsid w:val="00F51579"/>
    <w:rsid w:val="00F53014"/>
    <w:rsid w:val="00F63CF4"/>
    <w:rsid w:val="00F71EC0"/>
    <w:rsid w:val="00F81405"/>
    <w:rsid w:val="00F834EC"/>
    <w:rsid w:val="00F91C60"/>
    <w:rsid w:val="00F94CF7"/>
    <w:rsid w:val="00F963E4"/>
    <w:rsid w:val="00FA00B6"/>
    <w:rsid w:val="00FA6854"/>
    <w:rsid w:val="00FA7DDD"/>
    <w:rsid w:val="00FB65B2"/>
    <w:rsid w:val="00FC54DB"/>
    <w:rsid w:val="00FC7EC8"/>
    <w:rsid w:val="00FD3075"/>
    <w:rsid w:val="00FD569F"/>
    <w:rsid w:val="00FD6C75"/>
    <w:rsid w:val="00FE24DB"/>
    <w:rsid w:val="00FE3255"/>
    <w:rsid w:val="00FE479E"/>
    <w:rsid w:val="00FF04FB"/>
    <w:rsid w:val="00FF562A"/>
    <w:rsid w:val="00FF775B"/>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33BA6E"/>
  <w15:docId w15:val="{1E29CAF1-96D2-4825-B006-51D2D2C90A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qFormat="1"/>
    <w:lsdException w:name="List Bullet 3" w:semiHidden="1" w:uiPriority="0" w:unhideWhenUsed="1" w:qFormat="1"/>
    <w:lsdException w:name="List Bullet 4" w:semiHidden="1" w:uiPriority="0" w:unhideWhenUsed="1" w:qFormat="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52905"/>
    <w:pPr>
      <w:spacing w:after="240" w:line="240" w:lineRule="auto"/>
    </w:pPr>
    <w:rPr>
      <w:rFonts w:ascii="Mute" w:eastAsia="Times New Roman" w:hAnsi="Mute" w:cs="Times New Roman"/>
      <w:color w:val="003865"/>
      <w:szCs w:val="20"/>
      <w:lang w:val="en-US"/>
    </w:rPr>
  </w:style>
  <w:style w:type="paragraph" w:styleId="Heading2">
    <w:name w:val="heading 2"/>
    <w:basedOn w:val="Normal"/>
    <w:next w:val="Normal"/>
    <w:link w:val="Heading2Char"/>
    <w:qFormat/>
    <w:rsid w:val="00216146"/>
    <w:pPr>
      <w:keepNext/>
      <w:spacing w:after="180"/>
      <w:outlineLvl w:val="1"/>
    </w:pPr>
    <w:rPr>
      <w:rFonts w:ascii="Arial" w:hAnsi="Arial" w:cs="Arial"/>
      <w:b/>
      <w:color w:val="009DE0"/>
      <w:sz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ilestamp">
    <w:name w:val="Filestamp"/>
    <w:basedOn w:val="Normal"/>
    <w:rsid w:val="00B52905"/>
    <w:pPr>
      <w:spacing w:after="0"/>
    </w:pPr>
    <w:rPr>
      <w:noProof/>
      <w:color w:val="868D95"/>
      <w:sz w:val="12"/>
    </w:rPr>
  </w:style>
  <w:style w:type="paragraph" w:styleId="ListBullet">
    <w:name w:val="List Bullet"/>
    <w:basedOn w:val="Normal"/>
    <w:unhideWhenUsed/>
    <w:qFormat/>
    <w:rsid w:val="00B52905"/>
    <w:pPr>
      <w:outlineLvl w:val="4"/>
    </w:pPr>
  </w:style>
  <w:style w:type="paragraph" w:styleId="ListBullet2">
    <w:name w:val="List Bullet 2"/>
    <w:basedOn w:val="Normal"/>
    <w:unhideWhenUsed/>
    <w:qFormat/>
    <w:rsid w:val="00B52905"/>
    <w:pPr>
      <w:outlineLvl w:val="5"/>
    </w:pPr>
  </w:style>
  <w:style w:type="paragraph" w:styleId="ListBullet3">
    <w:name w:val="List Bullet 3"/>
    <w:basedOn w:val="Normal"/>
    <w:unhideWhenUsed/>
    <w:qFormat/>
    <w:rsid w:val="00B52905"/>
    <w:pPr>
      <w:numPr>
        <w:ilvl w:val="6"/>
        <w:numId w:val="1"/>
      </w:numPr>
      <w:outlineLvl w:val="6"/>
    </w:pPr>
  </w:style>
  <w:style w:type="paragraph" w:styleId="ListBullet4">
    <w:name w:val="List Bullet 4"/>
    <w:basedOn w:val="Normal"/>
    <w:unhideWhenUsed/>
    <w:qFormat/>
    <w:rsid w:val="00B52905"/>
    <w:pPr>
      <w:numPr>
        <w:ilvl w:val="7"/>
        <w:numId w:val="1"/>
      </w:numPr>
      <w:outlineLvl w:val="7"/>
    </w:pPr>
  </w:style>
  <w:style w:type="paragraph" w:styleId="ListParagraph">
    <w:name w:val="List Paragraph"/>
    <w:aliases w:val="RTC - Bulleted List - multiple levels"/>
    <w:basedOn w:val="Normal"/>
    <w:link w:val="ListParagraphChar"/>
    <w:uiPriority w:val="34"/>
    <w:qFormat/>
    <w:rsid w:val="00B52905"/>
    <w:pPr>
      <w:ind w:left="720"/>
      <w:contextualSpacing/>
    </w:pPr>
  </w:style>
  <w:style w:type="paragraph" w:customStyle="1" w:styleId="RTC-Normaltext">
    <w:name w:val="RTC - Normal text"/>
    <w:basedOn w:val="Normal"/>
    <w:link w:val="RTC-NormaltextChar"/>
    <w:qFormat/>
    <w:rsid w:val="00B52905"/>
    <w:pPr>
      <w:suppressAutoHyphens/>
    </w:pPr>
    <w:rPr>
      <w:rFonts w:ascii="Arial" w:hAnsi="Arial" w:cs="Arial"/>
      <w:color w:val="auto"/>
      <w:szCs w:val="22"/>
      <w:lang w:val="en-GB" w:eastAsia="en-GB"/>
    </w:rPr>
  </w:style>
  <w:style w:type="character" w:customStyle="1" w:styleId="RTC-NormaltextChar">
    <w:name w:val="RTC - Normal text Char"/>
    <w:basedOn w:val="DefaultParagraphFont"/>
    <w:link w:val="RTC-Normaltext"/>
    <w:rsid w:val="00B52905"/>
    <w:rPr>
      <w:rFonts w:ascii="Arial" w:eastAsia="Times New Roman" w:hAnsi="Arial" w:cs="Arial"/>
      <w:lang w:eastAsia="en-GB"/>
    </w:rPr>
  </w:style>
  <w:style w:type="character" w:customStyle="1" w:styleId="ListParagraphChar">
    <w:name w:val="List Paragraph Char"/>
    <w:aliases w:val="RTC - Bulleted List - multiple levels Char"/>
    <w:basedOn w:val="DefaultParagraphFont"/>
    <w:link w:val="ListParagraph"/>
    <w:uiPriority w:val="34"/>
    <w:rsid w:val="00B52905"/>
    <w:rPr>
      <w:rFonts w:ascii="Mute" w:eastAsia="Times New Roman" w:hAnsi="Mute" w:cs="Times New Roman"/>
      <w:color w:val="003865"/>
      <w:szCs w:val="20"/>
      <w:lang w:val="en-US"/>
    </w:rPr>
  </w:style>
  <w:style w:type="character" w:styleId="CommentReference">
    <w:name w:val="annotation reference"/>
    <w:basedOn w:val="DefaultParagraphFont"/>
    <w:semiHidden/>
    <w:unhideWhenUsed/>
    <w:rsid w:val="004863B4"/>
    <w:rPr>
      <w:sz w:val="16"/>
      <w:szCs w:val="16"/>
    </w:rPr>
  </w:style>
  <w:style w:type="paragraph" w:styleId="CommentText">
    <w:name w:val="annotation text"/>
    <w:basedOn w:val="Normal"/>
    <w:link w:val="CommentTextChar"/>
    <w:unhideWhenUsed/>
    <w:rsid w:val="004863B4"/>
    <w:rPr>
      <w:sz w:val="20"/>
    </w:rPr>
  </w:style>
  <w:style w:type="character" w:customStyle="1" w:styleId="CommentTextChar">
    <w:name w:val="Comment Text Char"/>
    <w:basedOn w:val="DefaultParagraphFont"/>
    <w:link w:val="CommentText"/>
    <w:rsid w:val="004863B4"/>
    <w:rPr>
      <w:rFonts w:ascii="Mute" w:eastAsia="Times New Roman" w:hAnsi="Mute" w:cs="Times New Roman"/>
      <w:color w:val="003865"/>
      <w:sz w:val="20"/>
      <w:szCs w:val="20"/>
      <w:lang w:val="en-US"/>
    </w:rPr>
  </w:style>
  <w:style w:type="paragraph" w:styleId="CommentSubject">
    <w:name w:val="annotation subject"/>
    <w:basedOn w:val="CommentText"/>
    <w:next w:val="CommentText"/>
    <w:link w:val="CommentSubjectChar"/>
    <w:uiPriority w:val="99"/>
    <w:semiHidden/>
    <w:unhideWhenUsed/>
    <w:rsid w:val="004863B4"/>
    <w:rPr>
      <w:b/>
      <w:bCs/>
    </w:rPr>
  </w:style>
  <w:style w:type="character" w:customStyle="1" w:styleId="CommentSubjectChar">
    <w:name w:val="Comment Subject Char"/>
    <w:basedOn w:val="CommentTextChar"/>
    <w:link w:val="CommentSubject"/>
    <w:uiPriority w:val="99"/>
    <w:semiHidden/>
    <w:rsid w:val="004863B4"/>
    <w:rPr>
      <w:rFonts w:ascii="Mute" w:eastAsia="Times New Roman" w:hAnsi="Mute" w:cs="Times New Roman"/>
      <w:b/>
      <w:bCs/>
      <w:color w:val="003865"/>
      <w:sz w:val="20"/>
      <w:szCs w:val="20"/>
      <w:lang w:val="en-US"/>
    </w:rPr>
  </w:style>
  <w:style w:type="paragraph" w:styleId="BalloonText">
    <w:name w:val="Balloon Text"/>
    <w:basedOn w:val="Normal"/>
    <w:link w:val="BalloonTextChar"/>
    <w:uiPriority w:val="99"/>
    <w:semiHidden/>
    <w:unhideWhenUsed/>
    <w:rsid w:val="004863B4"/>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863B4"/>
    <w:rPr>
      <w:rFonts w:ascii="Segoe UI" w:eastAsia="Times New Roman" w:hAnsi="Segoe UI" w:cs="Segoe UI"/>
      <w:color w:val="003865"/>
      <w:sz w:val="18"/>
      <w:szCs w:val="18"/>
      <w:lang w:val="en-US"/>
    </w:rPr>
  </w:style>
  <w:style w:type="paragraph" w:styleId="Revision">
    <w:name w:val="Revision"/>
    <w:hidden/>
    <w:uiPriority w:val="99"/>
    <w:semiHidden/>
    <w:rsid w:val="00942CB4"/>
    <w:pPr>
      <w:spacing w:after="0" w:line="240" w:lineRule="auto"/>
    </w:pPr>
    <w:rPr>
      <w:rFonts w:ascii="Mute" w:eastAsia="Times New Roman" w:hAnsi="Mute" w:cs="Times New Roman"/>
      <w:color w:val="003865"/>
      <w:szCs w:val="20"/>
      <w:lang w:val="en-US"/>
    </w:rPr>
  </w:style>
  <w:style w:type="paragraph" w:customStyle="1" w:styleId="NormalIndent2">
    <w:name w:val="Normal Indent 2"/>
    <w:basedOn w:val="Normal"/>
    <w:link w:val="NormalIndent2Char"/>
    <w:rsid w:val="003849CE"/>
    <w:pPr>
      <w:ind w:left="720"/>
    </w:pPr>
    <w:rPr>
      <w:rFonts w:ascii="Times New Roman" w:hAnsi="Times New Roman"/>
      <w:color w:val="auto"/>
      <w:sz w:val="24"/>
      <w:lang w:val="en-GB" w:eastAsia="en-GB"/>
    </w:rPr>
  </w:style>
  <w:style w:type="character" w:customStyle="1" w:styleId="NormalIndent2Char">
    <w:name w:val="Normal Indent 2 Char"/>
    <w:link w:val="NormalIndent2"/>
    <w:locked/>
    <w:rsid w:val="003849CE"/>
    <w:rPr>
      <w:rFonts w:ascii="Times New Roman" w:eastAsia="Times New Roman" w:hAnsi="Times New Roman" w:cs="Times New Roman"/>
      <w:sz w:val="24"/>
      <w:szCs w:val="20"/>
      <w:lang w:eastAsia="en-GB"/>
    </w:rPr>
  </w:style>
  <w:style w:type="character" w:styleId="Hyperlink">
    <w:name w:val="Hyperlink"/>
    <w:basedOn w:val="DefaultParagraphFont"/>
    <w:uiPriority w:val="99"/>
    <w:unhideWhenUsed/>
    <w:rsid w:val="003849CE"/>
    <w:rPr>
      <w:color w:val="0563C1"/>
      <w:u w:val="single"/>
    </w:rPr>
  </w:style>
  <w:style w:type="paragraph" w:customStyle="1" w:styleId="OutlineNum2">
    <w:name w:val="Outline Num 2"/>
    <w:basedOn w:val="Normal"/>
    <w:link w:val="OutlineNum2Char"/>
    <w:rsid w:val="003849CE"/>
    <w:pPr>
      <w:numPr>
        <w:ilvl w:val="1"/>
        <w:numId w:val="2"/>
      </w:numPr>
      <w:outlineLvl w:val="1"/>
    </w:pPr>
    <w:rPr>
      <w:rFonts w:ascii="Times New Roman" w:hAnsi="Times New Roman"/>
      <w:color w:val="auto"/>
      <w:sz w:val="24"/>
      <w:lang w:val="en-GB" w:eastAsia="en-GB"/>
    </w:rPr>
  </w:style>
  <w:style w:type="paragraph" w:customStyle="1" w:styleId="OutlineNum3">
    <w:name w:val="Outline Num 3"/>
    <w:basedOn w:val="Normal"/>
    <w:rsid w:val="003849CE"/>
    <w:pPr>
      <w:numPr>
        <w:ilvl w:val="2"/>
        <w:numId w:val="2"/>
      </w:numPr>
      <w:outlineLvl w:val="2"/>
    </w:pPr>
    <w:rPr>
      <w:rFonts w:ascii="Times New Roman" w:hAnsi="Times New Roman"/>
      <w:color w:val="auto"/>
      <w:sz w:val="24"/>
      <w:lang w:val="en-GB" w:eastAsia="en-GB"/>
    </w:rPr>
  </w:style>
  <w:style w:type="paragraph" w:customStyle="1" w:styleId="OutlineNum">
    <w:name w:val="Outline Num"/>
    <w:basedOn w:val="Normal"/>
    <w:next w:val="OutlineNum2"/>
    <w:link w:val="OutlineNumChar"/>
    <w:rsid w:val="003849CE"/>
    <w:pPr>
      <w:numPr>
        <w:numId w:val="2"/>
      </w:numPr>
    </w:pPr>
    <w:rPr>
      <w:rFonts w:ascii="Arial" w:hAnsi="Arial"/>
      <w:b/>
      <w:color w:val="auto"/>
      <w:sz w:val="23"/>
      <w:szCs w:val="23"/>
      <w:lang w:val="en-GB" w:eastAsia="en-GB"/>
    </w:rPr>
  </w:style>
  <w:style w:type="table" w:styleId="TableGrid">
    <w:name w:val="Table Grid"/>
    <w:basedOn w:val="TableNormal"/>
    <w:rsid w:val="0096702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OutlineNum2Char">
    <w:name w:val="Outline Num 2 Char"/>
    <w:link w:val="OutlineNum2"/>
    <w:locked/>
    <w:rsid w:val="0096702F"/>
    <w:rPr>
      <w:rFonts w:ascii="Times New Roman" w:eastAsia="Times New Roman" w:hAnsi="Times New Roman" w:cs="Times New Roman"/>
      <w:sz w:val="24"/>
      <w:szCs w:val="20"/>
      <w:lang w:eastAsia="en-GB"/>
    </w:rPr>
  </w:style>
  <w:style w:type="character" w:customStyle="1" w:styleId="OutlineNumChar">
    <w:name w:val="Outline Num Char"/>
    <w:link w:val="OutlineNum"/>
    <w:rsid w:val="0096702F"/>
    <w:rPr>
      <w:rFonts w:ascii="Arial" w:eastAsia="Times New Roman" w:hAnsi="Arial" w:cs="Times New Roman"/>
      <w:b/>
      <w:sz w:val="23"/>
      <w:szCs w:val="23"/>
      <w:lang w:eastAsia="en-GB"/>
    </w:rPr>
  </w:style>
  <w:style w:type="paragraph" w:customStyle="1" w:styleId="Default">
    <w:name w:val="Default"/>
    <w:rsid w:val="00DB652D"/>
    <w:pPr>
      <w:autoSpaceDE w:val="0"/>
      <w:autoSpaceDN w:val="0"/>
      <w:adjustRightInd w:val="0"/>
      <w:spacing w:after="0" w:line="240" w:lineRule="auto"/>
    </w:pPr>
    <w:rPr>
      <w:rFonts w:ascii="Times New Roman" w:hAnsi="Times New Roman" w:cs="Times New Roman"/>
      <w:color w:val="000000"/>
      <w:sz w:val="24"/>
      <w:szCs w:val="24"/>
      <w:lang w:val="pt-PT"/>
    </w:rPr>
  </w:style>
  <w:style w:type="character" w:styleId="PlaceholderText">
    <w:name w:val="Placeholder Text"/>
    <w:basedOn w:val="DefaultParagraphFont"/>
    <w:uiPriority w:val="99"/>
    <w:semiHidden/>
    <w:rsid w:val="00312B23"/>
    <w:rPr>
      <w:color w:val="808080"/>
    </w:rPr>
  </w:style>
  <w:style w:type="paragraph" w:styleId="Header">
    <w:name w:val="header"/>
    <w:basedOn w:val="Normal"/>
    <w:link w:val="HeaderChar"/>
    <w:uiPriority w:val="99"/>
    <w:unhideWhenUsed/>
    <w:rsid w:val="00216146"/>
    <w:pPr>
      <w:tabs>
        <w:tab w:val="center" w:pos="4252"/>
        <w:tab w:val="right" w:pos="8504"/>
      </w:tabs>
      <w:spacing w:after="0"/>
    </w:pPr>
  </w:style>
  <w:style w:type="character" w:customStyle="1" w:styleId="HeaderChar">
    <w:name w:val="Header Char"/>
    <w:basedOn w:val="DefaultParagraphFont"/>
    <w:link w:val="Header"/>
    <w:uiPriority w:val="99"/>
    <w:rsid w:val="00216146"/>
    <w:rPr>
      <w:rFonts w:ascii="Mute" w:eastAsia="Times New Roman" w:hAnsi="Mute" w:cs="Times New Roman"/>
      <w:color w:val="003865"/>
      <w:szCs w:val="20"/>
      <w:lang w:val="en-US"/>
    </w:rPr>
  </w:style>
  <w:style w:type="paragraph" w:styleId="Footer">
    <w:name w:val="footer"/>
    <w:basedOn w:val="Normal"/>
    <w:link w:val="FooterChar"/>
    <w:uiPriority w:val="99"/>
    <w:unhideWhenUsed/>
    <w:rsid w:val="00216146"/>
    <w:pPr>
      <w:tabs>
        <w:tab w:val="center" w:pos="4252"/>
        <w:tab w:val="right" w:pos="8504"/>
      </w:tabs>
      <w:spacing w:after="0"/>
    </w:pPr>
  </w:style>
  <w:style w:type="character" w:customStyle="1" w:styleId="FooterChar">
    <w:name w:val="Footer Char"/>
    <w:basedOn w:val="DefaultParagraphFont"/>
    <w:link w:val="Footer"/>
    <w:uiPriority w:val="99"/>
    <w:rsid w:val="00216146"/>
    <w:rPr>
      <w:rFonts w:ascii="Mute" w:eastAsia="Times New Roman" w:hAnsi="Mute" w:cs="Times New Roman"/>
      <w:color w:val="003865"/>
      <w:szCs w:val="20"/>
      <w:lang w:val="en-US"/>
    </w:rPr>
  </w:style>
  <w:style w:type="paragraph" w:customStyle="1" w:styleId="Tagline">
    <w:name w:val="Tagline"/>
    <w:basedOn w:val="Normal"/>
    <w:next w:val="Normal"/>
    <w:rsid w:val="00216146"/>
    <w:pPr>
      <w:spacing w:after="0" w:line="385" w:lineRule="exact"/>
      <w:jc w:val="right"/>
    </w:pPr>
    <w:rPr>
      <w:rFonts w:ascii="Arial" w:hAnsi="Arial" w:cs="Arial"/>
      <w:sz w:val="28"/>
      <w:lang w:val="en-GB"/>
    </w:rPr>
  </w:style>
  <w:style w:type="character" w:customStyle="1" w:styleId="Heading2Char">
    <w:name w:val="Heading 2 Char"/>
    <w:basedOn w:val="DefaultParagraphFont"/>
    <w:link w:val="Heading2"/>
    <w:rsid w:val="00216146"/>
    <w:rPr>
      <w:rFonts w:ascii="Arial" w:eastAsia="Times New Roman" w:hAnsi="Arial" w:cs="Arial"/>
      <w:b/>
      <w:color w:val="009DE0"/>
      <w:sz w:val="24"/>
      <w:szCs w:val="20"/>
    </w:rPr>
  </w:style>
  <w:style w:type="paragraph" w:customStyle="1" w:styleId="TableBullet1">
    <w:name w:val="Table Bullet 1"/>
    <w:basedOn w:val="Normal"/>
    <w:qFormat/>
    <w:rsid w:val="00D03317"/>
    <w:pPr>
      <w:numPr>
        <w:ilvl w:val="4"/>
        <w:numId w:val="4"/>
      </w:numPr>
      <w:spacing w:before="40" w:after="40" w:line="260" w:lineRule="atLeast"/>
      <w:outlineLvl w:val="4"/>
    </w:pPr>
  </w:style>
  <w:style w:type="paragraph" w:customStyle="1" w:styleId="TableBullet2">
    <w:name w:val="Table Bullet 2"/>
    <w:basedOn w:val="Normal"/>
    <w:qFormat/>
    <w:rsid w:val="00D03317"/>
    <w:pPr>
      <w:numPr>
        <w:ilvl w:val="5"/>
        <w:numId w:val="4"/>
      </w:numPr>
      <w:spacing w:before="40" w:after="40" w:line="260" w:lineRule="atLeast"/>
      <w:outlineLvl w:val="5"/>
    </w:pPr>
  </w:style>
  <w:style w:type="paragraph" w:customStyle="1" w:styleId="TableBullet3">
    <w:name w:val="Table Bullet 3"/>
    <w:basedOn w:val="Normal"/>
    <w:link w:val="TableBullet3Char"/>
    <w:qFormat/>
    <w:rsid w:val="00D03317"/>
    <w:pPr>
      <w:numPr>
        <w:ilvl w:val="6"/>
        <w:numId w:val="4"/>
      </w:numPr>
      <w:spacing w:before="40" w:after="40" w:line="260" w:lineRule="atLeast"/>
      <w:outlineLvl w:val="6"/>
    </w:pPr>
  </w:style>
  <w:style w:type="character" w:customStyle="1" w:styleId="TableBullet3Char">
    <w:name w:val="Table Bullet 3 Char"/>
    <w:basedOn w:val="DefaultParagraphFont"/>
    <w:link w:val="TableBullet3"/>
    <w:rsid w:val="00D03317"/>
    <w:rPr>
      <w:rFonts w:ascii="Mute" w:eastAsia="Times New Roman" w:hAnsi="Mute" w:cs="Times New Roman"/>
      <w:color w:val="003865"/>
      <w:szCs w:val="20"/>
      <w:lang w:val="en-US"/>
    </w:rPr>
  </w:style>
  <w:style w:type="paragraph" w:customStyle="1" w:styleId="TableBullet4">
    <w:name w:val="Table Bullet 4"/>
    <w:basedOn w:val="Normal"/>
    <w:qFormat/>
    <w:rsid w:val="00D03317"/>
    <w:pPr>
      <w:numPr>
        <w:ilvl w:val="7"/>
        <w:numId w:val="4"/>
      </w:numPr>
      <w:spacing w:before="40" w:after="40" w:line="260" w:lineRule="atLeast"/>
      <w:outlineLvl w:val="7"/>
    </w:pPr>
  </w:style>
  <w:style w:type="character" w:styleId="FollowedHyperlink">
    <w:name w:val="FollowedHyperlink"/>
    <w:basedOn w:val="DefaultParagraphFont"/>
    <w:uiPriority w:val="99"/>
    <w:semiHidden/>
    <w:unhideWhenUsed/>
    <w:rsid w:val="0013093B"/>
    <w:rPr>
      <w:color w:val="800080" w:themeColor="followedHyperlink"/>
      <w:u w:val="single"/>
    </w:rPr>
  </w:style>
  <w:style w:type="paragraph" w:styleId="FootnoteText">
    <w:name w:val="footnote text"/>
    <w:basedOn w:val="Normal"/>
    <w:link w:val="FootnoteTextChar"/>
    <w:uiPriority w:val="99"/>
    <w:semiHidden/>
    <w:unhideWhenUsed/>
    <w:rsid w:val="00CC1DAB"/>
    <w:pPr>
      <w:spacing w:after="0"/>
    </w:pPr>
    <w:rPr>
      <w:sz w:val="20"/>
    </w:rPr>
  </w:style>
  <w:style w:type="character" w:customStyle="1" w:styleId="FootnoteTextChar">
    <w:name w:val="Footnote Text Char"/>
    <w:basedOn w:val="DefaultParagraphFont"/>
    <w:link w:val="FootnoteText"/>
    <w:uiPriority w:val="99"/>
    <w:semiHidden/>
    <w:rsid w:val="00CC1DAB"/>
    <w:rPr>
      <w:rFonts w:ascii="Mute" w:eastAsia="Times New Roman" w:hAnsi="Mute" w:cs="Times New Roman"/>
      <w:color w:val="003865"/>
      <w:sz w:val="20"/>
      <w:szCs w:val="20"/>
      <w:lang w:val="en-US"/>
    </w:rPr>
  </w:style>
  <w:style w:type="character" w:styleId="FootnoteReference">
    <w:name w:val="footnote reference"/>
    <w:basedOn w:val="DefaultParagraphFont"/>
    <w:uiPriority w:val="99"/>
    <w:semiHidden/>
    <w:unhideWhenUsed/>
    <w:rsid w:val="00CC1DAB"/>
    <w:rPr>
      <w:vertAlign w:val="superscript"/>
    </w:rPr>
  </w:style>
  <w:style w:type="paragraph" w:styleId="EndnoteText">
    <w:name w:val="endnote text"/>
    <w:basedOn w:val="Normal"/>
    <w:link w:val="EndnoteTextChar"/>
    <w:uiPriority w:val="99"/>
    <w:semiHidden/>
    <w:unhideWhenUsed/>
    <w:rsid w:val="00CF7CE9"/>
    <w:pPr>
      <w:spacing w:after="0"/>
    </w:pPr>
    <w:rPr>
      <w:sz w:val="20"/>
    </w:rPr>
  </w:style>
  <w:style w:type="character" w:customStyle="1" w:styleId="EndnoteTextChar">
    <w:name w:val="Endnote Text Char"/>
    <w:basedOn w:val="DefaultParagraphFont"/>
    <w:link w:val="EndnoteText"/>
    <w:uiPriority w:val="99"/>
    <w:semiHidden/>
    <w:rsid w:val="00CF7CE9"/>
    <w:rPr>
      <w:rFonts w:ascii="Mute" w:eastAsia="Times New Roman" w:hAnsi="Mute" w:cs="Times New Roman"/>
      <w:color w:val="003865"/>
      <w:sz w:val="20"/>
      <w:szCs w:val="20"/>
      <w:lang w:val="en-US"/>
    </w:rPr>
  </w:style>
  <w:style w:type="character" w:styleId="EndnoteReference">
    <w:name w:val="endnote reference"/>
    <w:basedOn w:val="DefaultParagraphFont"/>
    <w:uiPriority w:val="99"/>
    <w:semiHidden/>
    <w:unhideWhenUsed/>
    <w:rsid w:val="00CF7CE9"/>
    <w:rPr>
      <w:vertAlign w:val="superscript"/>
    </w:rPr>
  </w:style>
  <w:style w:type="character" w:styleId="UnresolvedMention">
    <w:name w:val="Unresolved Mention"/>
    <w:basedOn w:val="DefaultParagraphFont"/>
    <w:uiPriority w:val="99"/>
    <w:semiHidden/>
    <w:unhideWhenUsed/>
    <w:rsid w:val="00863A7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498888">
      <w:bodyDiv w:val="1"/>
      <w:marLeft w:val="0"/>
      <w:marRight w:val="0"/>
      <w:marTop w:val="0"/>
      <w:marBottom w:val="0"/>
      <w:divBdr>
        <w:top w:val="none" w:sz="0" w:space="0" w:color="auto"/>
        <w:left w:val="none" w:sz="0" w:space="0" w:color="auto"/>
        <w:bottom w:val="none" w:sz="0" w:space="0" w:color="auto"/>
        <w:right w:val="none" w:sz="0" w:space="0" w:color="auto"/>
      </w:divBdr>
    </w:div>
    <w:div w:id="271281940">
      <w:bodyDiv w:val="1"/>
      <w:marLeft w:val="0"/>
      <w:marRight w:val="0"/>
      <w:marTop w:val="0"/>
      <w:marBottom w:val="0"/>
      <w:divBdr>
        <w:top w:val="none" w:sz="0" w:space="0" w:color="auto"/>
        <w:left w:val="none" w:sz="0" w:space="0" w:color="auto"/>
        <w:bottom w:val="none" w:sz="0" w:space="0" w:color="auto"/>
        <w:right w:val="none" w:sz="0" w:space="0" w:color="auto"/>
      </w:divBdr>
    </w:div>
    <w:div w:id="497504025">
      <w:bodyDiv w:val="1"/>
      <w:marLeft w:val="0"/>
      <w:marRight w:val="0"/>
      <w:marTop w:val="0"/>
      <w:marBottom w:val="0"/>
      <w:divBdr>
        <w:top w:val="none" w:sz="0" w:space="0" w:color="auto"/>
        <w:left w:val="none" w:sz="0" w:space="0" w:color="auto"/>
        <w:bottom w:val="none" w:sz="0" w:space="0" w:color="auto"/>
        <w:right w:val="none" w:sz="0" w:space="0" w:color="auto"/>
      </w:divBdr>
    </w:div>
    <w:div w:id="543517139">
      <w:bodyDiv w:val="1"/>
      <w:marLeft w:val="0"/>
      <w:marRight w:val="0"/>
      <w:marTop w:val="0"/>
      <w:marBottom w:val="0"/>
      <w:divBdr>
        <w:top w:val="none" w:sz="0" w:space="0" w:color="auto"/>
        <w:left w:val="none" w:sz="0" w:space="0" w:color="auto"/>
        <w:bottom w:val="none" w:sz="0" w:space="0" w:color="auto"/>
        <w:right w:val="none" w:sz="0" w:space="0" w:color="auto"/>
      </w:divBdr>
    </w:div>
    <w:div w:id="756512765">
      <w:bodyDiv w:val="1"/>
      <w:marLeft w:val="0"/>
      <w:marRight w:val="0"/>
      <w:marTop w:val="0"/>
      <w:marBottom w:val="0"/>
      <w:divBdr>
        <w:top w:val="none" w:sz="0" w:space="0" w:color="auto"/>
        <w:left w:val="none" w:sz="0" w:space="0" w:color="auto"/>
        <w:bottom w:val="none" w:sz="0" w:space="0" w:color="auto"/>
        <w:right w:val="none" w:sz="0" w:space="0" w:color="auto"/>
      </w:divBdr>
    </w:div>
    <w:div w:id="938610676">
      <w:bodyDiv w:val="1"/>
      <w:marLeft w:val="0"/>
      <w:marRight w:val="0"/>
      <w:marTop w:val="0"/>
      <w:marBottom w:val="0"/>
      <w:divBdr>
        <w:top w:val="none" w:sz="0" w:space="0" w:color="auto"/>
        <w:left w:val="none" w:sz="0" w:space="0" w:color="auto"/>
        <w:bottom w:val="none" w:sz="0" w:space="0" w:color="auto"/>
        <w:right w:val="none" w:sz="0" w:space="0" w:color="auto"/>
      </w:divBdr>
    </w:div>
    <w:div w:id="987437100">
      <w:bodyDiv w:val="1"/>
      <w:marLeft w:val="0"/>
      <w:marRight w:val="0"/>
      <w:marTop w:val="0"/>
      <w:marBottom w:val="0"/>
      <w:divBdr>
        <w:top w:val="none" w:sz="0" w:space="0" w:color="auto"/>
        <w:left w:val="none" w:sz="0" w:space="0" w:color="auto"/>
        <w:bottom w:val="none" w:sz="0" w:space="0" w:color="auto"/>
        <w:right w:val="none" w:sz="0" w:space="0" w:color="auto"/>
      </w:divBdr>
    </w:div>
    <w:div w:id="1328899052">
      <w:bodyDiv w:val="1"/>
      <w:marLeft w:val="0"/>
      <w:marRight w:val="0"/>
      <w:marTop w:val="0"/>
      <w:marBottom w:val="0"/>
      <w:divBdr>
        <w:top w:val="none" w:sz="0" w:space="0" w:color="auto"/>
        <w:left w:val="none" w:sz="0" w:space="0" w:color="auto"/>
        <w:bottom w:val="none" w:sz="0" w:space="0" w:color="auto"/>
        <w:right w:val="none" w:sz="0" w:space="0" w:color="auto"/>
      </w:divBdr>
    </w:div>
    <w:div w:id="1595284749">
      <w:bodyDiv w:val="1"/>
      <w:marLeft w:val="0"/>
      <w:marRight w:val="0"/>
      <w:marTop w:val="0"/>
      <w:marBottom w:val="0"/>
      <w:divBdr>
        <w:top w:val="none" w:sz="0" w:space="0" w:color="auto"/>
        <w:left w:val="none" w:sz="0" w:space="0" w:color="auto"/>
        <w:bottom w:val="none" w:sz="0" w:space="0" w:color="auto"/>
        <w:right w:val="none" w:sz="0" w:space="0" w:color="auto"/>
      </w:divBdr>
    </w:div>
    <w:div w:id="1679846265">
      <w:bodyDiv w:val="1"/>
      <w:marLeft w:val="0"/>
      <w:marRight w:val="0"/>
      <w:marTop w:val="0"/>
      <w:marBottom w:val="0"/>
      <w:divBdr>
        <w:top w:val="none" w:sz="0" w:space="0" w:color="auto"/>
        <w:left w:val="none" w:sz="0" w:space="0" w:color="auto"/>
        <w:bottom w:val="none" w:sz="0" w:space="0" w:color="auto"/>
        <w:right w:val="none" w:sz="0" w:space="0" w:color="auto"/>
      </w:divBdr>
    </w:div>
    <w:div w:id="1850753108">
      <w:bodyDiv w:val="1"/>
      <w:marLeft w:val="0"/>
      <w:marRight w:val="0"/>
      <w:marTop w:val="0"/>
      <w:marBottom w:val="0"/>
      <w:divBdr>
        <w:top w:val="none" w:sz="0" w:space="0" w:color="auto"/>
        <w:left w:val="none" w:sz="0" w:space="0" w:color="auto"/>
        <w:bottom w:val="none" w:sz="0" w:space="0" w:color="auto"/>
        <w:right w:val="none" w:sz="0" w:space="0" w:color="auto"/>
      </w:divBdr>
    </w:div>
    <w:div w:id="1991785599">
      <w:bodyDiv w:val="1"/>
      <w:marLeft w:val="0"/>
      <w:marRight w:val="0"/>
      <w:marTop w:val="0"/>
      <w:marBottom w:val="0"/>
      <w:divBdr>
        <w:top w:val="none" w:sz="0" w:space="0" w:color="auto"/>
        <w:left w:val="none" w:sz="0" w:space="0" w:color="auto"/>
        <w:bottom w:val="none" w:sz="0" w:space="0" w:color="auto"/>
        <w:right w:val="none" w:sz="0" w:space="0" w:color="auto"/>
      </w:divBdr>
    </w:div>
    <w:div w:id="1997370080">
      <w:bodyDiv w:val="1"/>
      <w:marLeft w:val="0"/>
      <w:marRight w:val="0"/>
      <w:marTop w:val="0"/>
      <w:marBottom w:val="0"/>
      <w:divBdr>
        <w:top w:val="none" w:sz="0" w:space="0" w:color="auto"/>
        <w:left w:val="none" w:sz="0" w:space="0" w:color="auto"/>
        <w:bottom w:val="none" w:sz="0" w:space="0" w:color="auto"/>
        <w:right w:val="none" w:sz="0" w:space="0" w:color="auto"/>
      </w:divBdr>
    </w:div>
    <w:div w:id="211690127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6A84CF-FB5C-45BD-9754-BB347387C7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1701</Words>
  <Characters>9701</Characters>
  <Application>Microsoft Office Word</Application>
  <DocSecurity>4</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MMC</Company>
  <LinksUpToDate>false</LinksUpToDate>
  <CharactersWithSpaces>11380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MacPherson, Abbie</dc:creator>
  <cp:keywords/>
  <dc:description/>
  <cp:lastModifiedBy>Lisa Jones</cp:lastModifiedBy>
  <cp:revision>2</cp:revision>
  <cp:lastPrinted>2021-02-12T12:23:00Z</cp:lastPrinted>
  <dcterms:created xsi:type="dcterms:W3CDTF">2026-06-25T12:16:00Z</dcterms:created>
  <dcterms:modified xsi:type="dcterms:W3CDTF">2026-06-25T12:16:00Z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MSIP_Label_38f1469a-2c2a-4aee-b92b-090d4c5468ff_Enabled">
    <vt:lpwstr>true</vt:lpwstr>
  </property>
  <property fmtid="{D5CDD505-2E9C-101B-9397-08002B2CF9AE}" pid="4" name="MSIP_Label_38f1469a-2c2a-4aee-b92b-090d4c5468ff_SetDate">
    <vt:lpwstr>2021-09-14T08:31:00Z</vt:lpwstr>
  </property>
  <property fmtid="{D5CDD505-2E9C-101B-9397-08002B2CF9AE}" pid="5" name="MSIP_Label_38f1469a-2c2a-4aee-b92b-090d4c5468ff_Method">
    <vt:lpwstr>Standard</vt:lpwstr>
  </property>
  <property fmtid="{D5CDD505-2E9C-101B-9397-08002B2CF9AE}" pid="6" name="MSIP_Label_38f1469a-2c2a-4aee-b92b-090d4c5468ff_Name">
    <vt:lpwstr>Confidential - Unmarked</vt:lpwstr>
  </property>
  <property fmtid="{D5CDD505-2E9C-101B-9397-08002B2CF9AE}" pid="7" name="MSIP_Label_38f1469a-2c2a-4aee-b92b-090d4c5468ff_SiteId">
    <vt:lpwstr>2a6e6092-73e4-4752-b1a5-477a17f5056d</vt:lpwstr>
  </property>
  <property fmtid="{D5CDD505-2E9C-101B-9397-08002B2CF9AE}" pid="8" name="MSIP_Label_38f1469a-2c2a-4aee-b92b-090d4c5468ff_ActionId">
    <vt:lpwstr>876ae7df-0c09-4bea-ad0d-94a04968b812</vt:lpwstr>
  </property>
  <property fmtid="{D5CDD505-2E9C-101B-9397-08002B2CF9AE}" pid="9" name="MSIP_Label_38f1469a-2c2a-4aee-b92b-090d4c5468ff_ContentBits">
    <vt:lpwstr>0</vt:lpwstr>
  </property>
  <property fmtid="{D5CDD505-2E9C-101B-9397-08002B2CF9AE}" pid="10" name="MPR_DocID">
    <vt:lpwstr>9bf763f4c33f475cb963bfb2db21a01f</vt:lpwstr>
  </property>
</Properties>
</file>